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F76F" w14:textId="77777777" w:rsidR="00632F9A" w:rsidRDefault="00632F9A">
      <w:pPr>
        <w:rPr>
          <w:b/>
        </w:rPr>
      </w:pPr>
    </w:p>
    <w:p w14:paraId="61A72853" w14:textId="77777777" w:rsidR="00D042CD" w:rsidRDefault="0083197B">
      <w:pPr>
        <w:rPr>
          <w:b/>
        </w:rPr>
      </w:pPr>
      <w:r>
        <w:rPr>
          <w:b/>
        </w:rPr>
        <w:t xml:space="preserve">Customer Impact Assessment – </w:t>
      </w:r>
      <w:r w:rsidR="00EE595C">
        <w:rPr>
          <w:b/>
        </w:rPr>
        <w:t>ASB Policy</w:t>
      </w:r>
    </w:p>
    <w:p w14:paraId="64C2F189" w14:textId="77777777" w:rsidR="00362D93" w:rsidRDefault="00362D93">
      <w:pPr>
        <w:rPr>
          <w:b/>
        </w:rPr>
      </w:pPr>
    </w:p>
    <w:tbl>
      <w:tblPr>
        <w:tblW w:w="15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53"/>
        <w:gridCol w:w="1295"/>
        <w:gridCol w:w="1201"/>
        <w:gridCol w:w="1139"/>
        <w:gridCol w:w="897"/>
        <w:gridCol w:w="2883"/>
        <w:gridCol w:w="1260"/>
        <w:gridCol w:w="3734"/>
      </w:tblGrid>
      <w:tr w:rsidR="00D042CD" w14:paraId="01D31985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B8F880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brief description of policy being analysed</w:t>
            </w:r>
          </w:p>
          <w:p w14:paraId="44221746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summarise the policy including any key information such as aims, context etc; note timescales and milestones for new policies; use plain language – NO JARGON; refer to other documents if required</w:t>
            </w:r>
          </w:p>
          <w:p w14:paraId="6AE3AAEC" w14:textId="77777777" w:rsidR="00D042CD" w:rsidRPr="00362D93" w:rsidRDefault="00D042CD">
            <w:pPr>
              <w:rPr>
                <w:color w:val="000000" w:themeColor="text1"/>
                <w:sz w:val="20"/>
                <w:szCs w:val="20"/>
              </w:rPr>
            </w:pPr>
          </w:p>
          <w:p w14:paraId="3B211F6A" w14:textId="77777777" w:rsidR="00362D93" w:rsidRPr="00362D93" w:rsidRDefault="0083197B" w:rsidP="00362D93">
            <w:pPr>
              <w:pStyle w:val="Heading3"/>
              <w:shd w:val="clear" w:color="auto" w:fill="FFFFFF"/>
              <w:spacing w:before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The </w:t>
            </w:r>
            <w:r w:rsidR="00EE595C"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Anti-social behaviour (ASB) policy document for the councils community safety service that</w:t>
            </w:r>
            <w:r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outlines the purpose of the </w:t>
            </w:r>
            <w:r w:rsidR="00EE595C"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council’s responsibility to deliver and support resolutions of reports of ASB</w:t>
            </w:r>
            <w:r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EE595C"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these responsibilities are directly linked to </w:t>
            </w:r>
            <w:hyperlink r:id="rId7" w:history="1">
              <w:r w:rsidR="00362D93" w:rsidRPr="00362D93">
                <w:rPr>
                  <w:rFonts w:ascii="Arial" w:eastAsia="Times New Roman" w:hAnsi="Arial" w:cs="Arial"/>
                  <w:b w:val="0"/>
                  <w:bCs w:val="0"/>
                  <w:color w:val="000000" w:themeColor="text1"/>
                  <w:sz w:val="20"/>
                  <w:szCs w:val="20"/>
                  <w:lang w:eastAsia="en-GB"/>
                </w:rPr>
                <w:t>Anti-social Behaviour, Crime and Policing Act 2014</w:t>
              </w:r>
            </w:hyperlink>
            <w:r w:rsidR="00632F9A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00BEECC5" w14:textId="77777777" w:rsidR="00D042CD" w:rsidRDefault="00D042CD">
            <w:pPr>
              <w:rPr>
                <w:sz w:val="20"/>
                <w:szCs w:val="20"/>
              </w:rPr>
            </w:pPr>
          </w:p>
          <w:p w14:paraId="378DEB14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EE595C">
              <w:rPr>
                <w:sz w:val="20"/>
                <w:szCs w:val="20"/>
              </w:rPr>
              <w:t>case management and partnership interventions are delivered in accordance to the ASB</w:t>
            </w:r>
            <w:r w:rsidR="006B4ADE">
              <w:rPr>
                <w:sz w:val="20"/>
                <w:szCs w:val="20"/>
              </w:rPr>
              <w:t xml:space="preserve"> policy document.</w:t>
            </w:r>
          </w:p>
          <w:p w14:paraId="5A8029DE" w14:textId="77777777" w:rsidR="00D042CD" w:rsidRDefault="00D042CD">
            <w:pPr>
              <w:rPr>
                <w:b/>
              </w:rPr>
            </w:pPr>
          </w:p>
        </w:tc>
      </w:tr>
      <w:tr w:rsidR="00D042CD" w14:paraId="08B5E756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86BE10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used for customer analysis</w:t>
            </w:r>
          </w:p>
          <w:p w14:paraId="3E362EE0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relevant consultation; who took part and key findings; refer to, or attach other documents if needed; include dates where possible</w:t>
            </w:r>
          </w:p>
          <w:p w14:paraId="3FB127A8" w14:textId="77777777" w:rsidR="00D042CD" w:rsidRDefault="00D042CD">
            <w:pPr>
              <w:rPr>
                <w:sz w:val="20"/>
                <w:szCs w:val="20"/>
              </w:rPr>
            </w:pPr>
          </w:p>
          <w:p w14:paraId="0A4B4189" w14:textId="77777777" w:rsidR="00D042CD" w:rsidRDefault="00EE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the nature of ASB</w:t>
            </w:r>
            <w:r w:rsidR="0083197B">
              <w:rPr>
                <w:sz w:val="20"/>
                <w:szCs w:val="20"/>
              </w:rPr>
              <w:t xml:space="preserve"> and that the service</w:t>
            </w:r>
            <w:r>
              <w:rPr>
                <w:sz w:val="20"/>
                <w:szCs w:val="20"/>
              </w:rPr>
              <w:t>s</w:t>
            </w:r>
            <w:r w:rsidR="0083197B">
              <w:rPr>
                <w:sz w:val="20"/>
                <w:szCs w:val="20"/>
              </w:rPr>
              <w:t xml:space="preserve"> delivered in accordance to a number of legal Acts, including </w:t>
            </w:r>
            <w:r w:rsidR="00632F9A">
              <w:rPr>
                <w:sz w:val="20"/>
                <w:szCs w:val="20"/>
              </w:rPr>
              <w:t xml:space="preserve">the </w:t>
            </w:r>
            <w:r w:rsidR="0083197B">
              <w:rPr>
                <w:sz w:val="20"/>
                <w:szCs w:val="20"/>
              </w:rPr>
              <w:t xml:space="preserve">Data Protection Act </w:t>
            </w:r>
            <w:r w:rsidR="00632F9A">
              <w:rPr>
                <w:sz w:val="20"/>
                <w:szCs w:val="20"/>
              </w:rPr>
              <w:t>2018</w:t>
            </w:r>
            <w:r w:rsidR="0083197B">
              <w:rPr>
                <w:sz w:val="20"/>
                <w:szCs w:val="20"/>
              </w:rPr>
              <w:t xml:space="preserve">, Human Rights Act 1998, </w:t>
            </w:r>
            <w:hyperlink r:id="rId8" w:history="1">
              <w:r w:rsidR="00362D93" w:rsidRPr="00362D93">
                <w:rPr>
                  <w:color w:val="000000" w:themeColor="text1"/>
                  <w:sz w:val="20"/>
                  <w:szCs w:val="20"/>
                  <w:lang w:eastAsia="en-GB"/>
                </w:rPr>
                <w:t>Anti-social Behaviour, Crime and Policing Act 2014</w:t>
              </w:r>
            </w:hyperlink>
            <w:r w:rsidR="00362D93">
              <w:rPr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83197B">
              <w:rPr>
                <w:sz w:val="20"/>
                <w:szCs w:val="20"/>
              </w:rPr>
              <w:t xml:space="preserve">and the Crime and Disorder Act 1998, </w:t>
            </w:r>
            <w:r>
              <w:rPr>
                <w:sz w:val="20"/>
                <w:szCs w:val="20"/>
              </w:rPr>
              <w:t xml:space="preserve">the policy is </w:t>
            </w:r>
            <w:r w:rsidR="0083197B">
              <w:rPr>
                <w:sz w:val="20"/>
                <w:szCs w:val="20"/>
              </w:rPr>
              <w:t>not developed through public consultation.</w:t>
            </w:r>
          </w:p>
          <w:p w14:paraId="041DCEA9" w14:textId="77777777" w:rsidR="00362D93" w:rsidRPr="00362D93" w:rsidRDefault="00362D93">
            <w:pPr>
              <w:rPr>
                <w:color w:val="000000" w:themeColor="text1"/>
                <w:sz w:val="20"/>
                <w:szCs w:val="20"/>
              </w:rPr>
            </w:pPr>
            <w:r w:rsidRPr="00362D93">
              <w:rPr>
                <w:color w:val="000000" w:themeColor="text1"/>
                <w:sz w:val="20"/>
                <w:szCs w:val="20"/>
              </w:rPr>
              <w:t xml:space="preserve">The policy has been reviewed since the introduction of the </w:t>
            </w:r>
            <w:hyperlink r:id="rId9" w:history="1">
              <w:r w:rsidRPr="00362D93">
                <w:rPr>
                  <w:color w:val="000000" w:themeColor="text1"/>
                  <w:sz w:val="20"/>
                  <w:szCs w:val="20"/>
                  <w:lang w:eastAsia="en-GB"/>
                </w:rPr>
                <w:t>Anti-social Behaviour, Crime and Policing Act 2014</w:t>
              </w:r>
            </w:hyperlink>
            <w:r w:rsidR="00632F9A">
              <w:rPr>
                <w:color w:val="000000" w:themeColor="text1"/>
                <w:sz w:val="20"/>
                <w:szCs w:val="20"/>
                <w:lang w:eastAsia="en-GB"/>
              </w:rPr>
              <w:t xml:space="preserve"> and the recent implementation of the General Data Protection Regulation (GDPR)</w:t>
            </w:r>
            <w:r w:rsidRPr="00362D93">
              <w:rPr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362D93">
              <w:rPr>
                <w:color w:val="000000" w:themeColor="text1"/>
                <w:sz w:val="20"/>
                <w:szCs w:val="20"/>
              </w:rPr>
              <w:t>which refle</w:t>
            </w:r>
            <w:r w:rsidR="00632F9A">
              <w:rPr>
                <w:color w:val="000000" w:themeColor="text1"/>
                <w:sz w:val="20"/>
                <w:szCs w:val="20"/>
              </w:rPr>
              <w:t>cts the needs and requirements of legislation.</w:t>
            </w:r>
          </w:p>
          <w:p w14:paraId="068DCB1E" w14:textId="77777777" w:rsidR="00D042CD" w:rsidRDefault="00D042CD" w:rsidP="00EE595C">
            <w:pPr>
              <w:rPr>
                <w:b/>
              </w:rPr>
            </w:pPr>
          </w:p>
        </w:tc>
      </w:tr>
      <w:tr w:rsidR="00D042CD" w14:paraId="0ADA08CE" w14:textId="77777777">
        <w:tc>
          <w:tcPr>
            <w:tcW w:w="2953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7892E0" w14:textId="77777777" w:rsidR="00D042CD" w:rsidRDefault="00D042CD">
            <w:pPr>
              <w:snapToGrid w:val="0"/>
              <w:rPr>
                <w:b/>
              </w:rPr>
            </w:pPr>
          </w:p>
          <w:p w14:paraId="3DA783E7" w14:textId="77777777" w:rsidR="00D042CD" w:rsidRDefault="00D042CD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7BF74E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CB42A0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C7E56B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780" w:type="dxa"/>
            <w:gridSpan w:val="2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B905EC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251695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734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E048E4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actions or explanations if actions are not possible</w:t>
            </w:r>
          </w:p>
          <w:p w14:paraId="785928EB" w14:textId="77777777" w:rsidR="00D042CD" w:rsidRDefault="00D042CD">
            <w:pPr>
              <w:rPr>
                <w:sz w:val="20"/>
                <w:szCs w:val="20"/>
              </w:rPr>
            </w:pPr>
          </w:p>
          <w:p w14:paraId="0F83B443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details of any actions to be placed in your Service Plan</w:t>
            </w:r>
          </w:p>
          <w:p w14:paraId="4AA72F9A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7D83E733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9082DA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F8D1FD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9CCD39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79D647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1E4213" w14:textId="77777777" w:rsidR="00D042CD" w:rsidRDefault="00D04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D9BC66" w14:textId="77777777" w:rsidR="00D042CD" w:rsidRDefault="0083197B">
            <w:pPr>
              <w:jc w:val="center"/>
            </w:pP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1D8BAA" w14:textId="77777777" w:rsidR="00D042CD" w:rsidRDefault="0083197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D042CD" w14:paraId="5460F828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4985D7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  <w:p w14:paraId="47A05BC0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ECBC00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F53161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7426F0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0690B7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EA99EA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1F9342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995445C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1D04AD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reassignment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93B23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6E82D5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9E0C68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EC241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7F1499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461B61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2E374F3F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6C5B62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</w:t>
            </w:r>
          </w:p>
          <w:p w14:paraId="2DFA8FE6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6F4778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158310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51C6B1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405D59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4A12A7" w14:textId="77777777" w:rsidR="00D042CD" w:rsidRDefault="0083197B">
            <w:pPr>
              <w:jc w:val="center"/>
            </w:pP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BA32B0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2EF45A95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E7FE67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  <w:p w14:paraId="51177914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8CCEEF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B5210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B7DBDF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ACC5B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FEB0CD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D177F8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53F331C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3D8C6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  <w:p w14:paraId="18E00B2F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19C93D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4A07B9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170086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7BF6FC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BF0761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8AC1F3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F58246B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89CFA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Religion or belief</w:t>
            </w:r>
          </w:p>
          <w:p w14:paraId="2DCAFA90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FB34B0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211DA0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7A6D3A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BD0557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82A816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77006E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833E5E2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7A205F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Pregnancy &amp; maternity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38ADF6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767ADA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53D7C9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8A04A6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E12AD8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3598CF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381D4EA3" w14:textId="77777777" w:rsidTr="00362D93">
        <w:trPr>
          <w:cantSplit/>
          <w:trHeight w:val="41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2A070125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Marriage &amp; civil partnership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C3AD73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12E1F9C9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3841CE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43412EA3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A702E7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2720AC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7DE0B401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575E891F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Rights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BF5628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27592BF4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F7E6F1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1B6360FA" w14:textId="77777777" w:rsidR="00D042CD" w:rsidRDefault="00D042CD" w:rsidP="00362D9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8C1DDA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621586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06A43E8E" w14:textId="77777777" w:rsidTr="00362D93">
        <w:trPr>
          <w:trHeight w:val="39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30669428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4E9DDE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50B3798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60BC46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C23C582" w14:textId="77777777" w:rsidR="00D042CD" w:rsidRDefault="00D04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5D04A3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87B729" w14:textId="77777777" w:rsidR="00D042CD" w:rsidRDefault="00D042CD">
            <w:pPr>
              <w:snapToGrid w:val="0"/>
              <w:rPr>
                <w:b/>
              </w:rPr>
            </w:pPr>
          </w:p>
          <w:p w14:paraId="7B8A607B" w14:textId="77777777" w:rsidR="00D042CD" w:rsidRDefault="00D042CD">
            <w:pPr>
              <w:rPr>
                <w:b/>
              </w:rPr>
            </w:pPr>
          </w:p>
        </w:tc>
      </w:tr>
      <w:tr w:rsidR="00D042CD" w14:paraId="236167D3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6008867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7DC7D0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1D673BB9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6AF4C9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4E3D8EEC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A0CDA6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FE31F1" w14:textId="77777777" w:rsidR="00D042CD" w:rsidRDefault="00D042CD">
            <w:pPr>
              <w:snapToGrid w:val="0"/>
              <w:rPr>
                <w:b/>
              </w:rPr>
            </w:pPr>
          </w:p>
          <w:p w14:paraId="33CEE62F" w14:textId="77777777" w:rsidR="00D042CD" w:rsidRDefault="00D042CD">
            <w:pPr>
              <w:rPr>
                <w:b/>
              </w:rPr>
            </w:pPr>
          </w:p>
        </w:tc>
      </w:tr>
      <w:tr w:rsidR="00D042CD" w14:paraId="472AEB60" w14:textId="77777777">
        <w:tc>
          <w:tcPr>
            <w:tcW w:w="15362" w:type="dxa"/>
            <w:gridSpan w:val="8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D8DFD1" w14:textId="77777777" w:rsidR="00D042CD" w:rsidRDefault="0083197B">
            <w:r>
              <w:rPr>
                <w:b/>
                <w:sz w:val="20"/>
                <w:szCs w:val="20"/>
              </w:rPr>
              <w:t>Outcome(s) of customer analysis</w:t>
            </w:r>
          </w:p>
          <w:p w14:paraId="1D0F50C9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6F9AEC3C" w14:textId="77777777" w:rsidR="00D042CD" w:rsidRDefault="0083197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neutral 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positive   </w:t>
            </w:r>
            <w:r>
              <w:rPr>
                <w:b/>
              </w:rPr>
              <w:t>x</w:t>
            </w:r>
          </w:p>
          <w:p w14:paraId="2565A300" w14:textId="77777777" w:rsidR="00D042CD" w:rsidRDefault="0083197B">
            <w:r>
              <w:rPr>
                <w:sz w:val="20"/>
                <w:szCs w:val="20"/>
              </w:rPr>
              <w:t xml:space="preserve">No major change needed  </w:t>
            </w:r>
            <w:r>
              <w:rPr>
                <w:b/>
              </w:rPr>
              <w:t xml:space="preserve">x </w:t>
            </w:r>
            <w:r>
              <w:rPr>
                <w:b/>
                <w:sz w:val="36"/>
                <w:szCs w:val="36"/>
              </w:rPr>
              <w:t xml:space="preserve">          </w:t>
            </w:r>
            <w:r>
              <w:rPr>
                <w:sz w:val="20"/>
                <w:szCs w:val="20"/>
              </w:rPr>
              <w:t xml:space="preserve">Adjust the policy 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Adverse impact but continue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Stop and remove / reconsider policy </w:t>
            </w:r>
            <w:r>
              <w:rPr>
                <w:b/>
                <w:sz w:val="36"/>
                <w:szCs w:val="36"/>
              </w:rPr>
              <w:t>□</w:t>
            </w:r>
          </w:p>
        </w:tc>
      </w:tr>
      <w:tr w:rsidR="00D042CD" w14:paraId="4BE21003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949A70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Arrangements for future monitoring:</w:t>
            </w:r>
          </w:p>
          <w:p w14:paraId="63F5AF59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when analysis will be reviewed; include any equality indicators and performance against those indicators</w:t>
            </w:r>
          </w:p>
          <w:p w14:paraId="6354E26A" w14:textId="77777777" w:rsidR="00D042CD" w:rsidRDefault="00D042CD">
            <w:pPr>
              <w:rPr>
                <w:sz w:val="20"/>
                <w:szCs w:val="20"/>
              </w:rPr>
            </w:pPr>
          </w:p>
          <w:p w14:paraId="4A7EEABA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362D93">
              <w:rPr>
                <w:sz w:val="20"/>
                <w:szCs w:val="20"/>
              </w:rPr>
              <w:t>ASB Policy</w:t>
            </w:r>
            <w:r>
              <w:rPr>
                <w:sz w:val="20"/>
                <w:szCs w:val="20"/>
              </w:rPr>
              <w:t xml:space="preserve"> is reviewed annually to ensure compliance in relation to possible changes to legislation, regulations, and management capacity.</w:t>
            </w:r>
            <w:r w:rsidR="00362D93">
              <w:rPr>
                <w:sz w:val="20"/>
                <w:szCs w:val="20"/>
              </w:rPr>
              <w:t xml:space="preserve"> This is audited by internal systems</w:t>
            </w:r>
          </w:p>
          <w:p w14:paraId="01FFC2D5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4D186D62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8D2A7E" w14:textId="77777777" w:rsidR="00D042CD" w:rsidRDefault="0083197B">
            <w:r>
              <w:rPr>
                <w:b/>
                <w:sz w:val="20"/>
                <w:szCs w:val="20"/>
              </w:rPr>
              <w:t xml:space="preserve">Details of any data/ Research used </w:t>
            </w:r>
            <w:r>
              <w:rPr>
                <w:sz w:val="20"/>
                <w:szCs w:val="20"/>
              </w:rPr>
              <w:t>(both FDC &amp; Partners)</w:t>
            </w:r>
            <w:r>
              <w:rPr>
                <w:b/>
                <w:sz w:val="20"/>
                <w:szCs w:val="20"/>
              </w:rPr>
              <w:t>:</w:t>
            </w:r>
          </w:p>
          <w:p w14:paraId="54A407BA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33C95040" w14:textId="343DD944" w:rsidR="00D042CD" w:rsidRDefault="00362D93" w:rsidP="00632F9A">
            <w:r>
              <w:rPr>
                <w:sz w:val="20"/>
                <w:szCs w:val="20"/>
              </w:rPr>
              <w:t>ASB County steering group and relevant frontline services / organisations</w:t>
            </w:r>
            <w:r w:rsidR="0083197B">
              <w:rPr>
                <w:sz w:val="20"/>
                <w:szCs w:val="20"/>
              </w:rPr>
              <w:t>.</w:t>
            </w:r>
            <w:r w:rsidR="00632F9A">
              <w:rPr>
                <w:sz w:val="20"/>
                <w:szCs w:val="20"/>
              </w:rPr>
              <w:t xml:space="preserve"> (Police &amp; Registered Social Landlords)</w:t>
            </w:r>
            <w:r w:rsidR="0083197B">
              <w:rPr>
                <w:sz w:val="20"/>
                <w:szCs w:val="20"/>
              </w:rPr>
              <w:t xml:space="preserve"> </w:t>
            </w:r>
            <w:r w:rsidR="00B45A11">
              <w:rPr>
                <w:sz w:val="20"/>
                <w:szCs w:val="20"/>
              </w:rPr>
              <w:t>Reference to Home Office Guidance for Professionals</w:t>
            </w:r>
          </w:p>
        </w:tc>
      </w:tr>
      <w:tr w:rsidR="00D042CD" w14:paraId="6F6E7EC6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9230A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by:</w:t>
            </w:r>
          </w:p>
          <w:p w14:paraId="6E3219AF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  <w:r w:rsidR="006A4FFC">
              <w:rPr>
                <w:b/>
                <w:sz w:val="20"/>
                <w:szCs w:val="20"/>
              </w:rPr>
              <w:t>Alan Boughen</w:t>
            </w:r>
          </w:p>
          <w:p w14:paraId="131053BA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Position: Community Safety </w:t>
            </w:r>
            <w:r w:rsidR="00362D93">
              <w:rPr>
                <w:b/>
                <w:sz w:val="20"/>
                <w:szCs w:val="20"/>
              </w:rPr>
              <w:t>Partnership officer</w:t>
            </w:r>
          </w:p>
          <w:p w14:paraId="7468B180" w14:textId="32FF3AE7" w:rsidR="00D042CD" w:rsidRDefault="00643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51C7A">
              <w:rPr>
                <w:b/>
                <w:sz w:val="20"/>
                <w:szCs w:val="20"/>
              </w:rPr>
              <w:t>/11/2018</w:t>
            </w:r>
            <w:r w:rsidR="00FA3CC9">
              <w:rPr>
                <w:b/>
                <w:sz w:val="20"/>
                <w:szCs w:val="20"/>
              </w:rPr>
              <w:t xml:space="preserve"> Reviewed </w:t>
            </w:r>
            <w:r w:rsidR="00B45A11">
              <w:rPr>
                <w:b/>
                <w:sz w:val="20"/>
                <w:szCs w:val="20"/>
              </w:rPr>
              <w:t>11/01/2022</w:t>
            </w:r>
          </w:p>
        </w:tc>
      </w:tr>
      <w:tr w:rsidR="00D042CD" w14:paraId="32D64167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0254C2" w14:textId="77777777" w:rsidR="00632F9A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Approved by </w:t>
            </w:r>
            <w:r>
              <w:rPr>
                <w:sz w:val="20"/>
                <w:szCs w:val="20"/>
              </w:rPr>
              <w:t xml:space="preserve">(manager signature): </w:t>
            </w:r>
            <w:r w:rsidR="00BC24A3">
              <w:rPr>
                <w:sz w:val="20"/>
                <w:szCs w:val="20"/>
              </w:rPr>
              <w:t xml:space="preserve"> </w:t>
            </w:r>
          </w:p>
          <w:p w14:paraId="5D7A86CB" w14:textId="77777777" w:rsidR="00632F9A" w:rsidRDefault="00632F9A">
            <w:pPr>
              <w:rPr>
                <w:sz w:val="20"/>
                <w:szCs w:val="20"/>
              </w:rPr>
            </w:pPr>
          </w:p>
          <w:p w14:paraId="4091FE60" w14:textId="77777777" w:rsidR="00632F9A" w:rsidRDefault="00643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Horn – Head of Housing &amp; Communities</w:t>
            </w:r>
          </w:p>
          <w:p w14:paraId="3BD8808B" w14:textId="77777777" w:rsidR="00632F9A" w:rsidRPr="00632F9A" w:rsidRDefault="00632F9A">
            <w:pPr>
              <w:rPr>
                <w:b/>
                <w:sz w:val="20"/>
                <w:szCs w:val="20"/>
              </w:rPr>
            </w:pP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C81BE6" w14:textId="77777777" w:rsidR="00D042CD" w:rsidRDefault="0083197B">
            <w:r>
              <w:rPr>
                <w:b/>
                <w:sz w:val="20"/>
                <w:szCs w:val="20"/>
              </w:rPr>
              <w:t xml:space="preserve">Date published: </w:t>
            </w:r>
          </w:p>
          <w:p w14:paraId="46E34ABA" w14:textId="77777777" w:rsidR="00D042CD" w:rsidRDefault="00D042CD">
            <w:pPr>
              <w:rPr>
                <w:sz w:val="20"/>
                <w:szCs w:val="20"/>
              </w:rPr>
            </w:pPr>
          </w:p>
          <w:p w14:paraId="18B6AB4C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</w:tr>
      <w:tr w:rsidR="00D042CD" w14:paraId="17985961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97C822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Committee approved by (if applicable):</w:t>
            </w:r>
          </w:p>
          <w:p w14:paraId="39E5B7A3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C2C8A6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14:paraId="4AA9A63E" w14:textId="77777777" w:rsidR="00D042CD" w:rsidRDefault="00D042CD" w:rsidP="00632F9A">
      <w:pPr>
        <w:tabs>
          <w:tab w:val="left" w:pos="3759"/>
        </w:tabs>
      </w:pPr>
    </w:p>
    <w:sectPr w:rsidR="00D042CD">
      <w:headerReference w:type="default" r:id="rId10"/>
      <w:pgSz w:w="16838" w:h="11906" w:orient="landscape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59B9C" w14:textId="77777777" w:rsidR="0083197B" w:rsidRDefault="0083197B">
      <w:r>
        <w:separator/>
      </w:r>
    </w:p>
  </w:endnote>
  <w:endnote w:type="continuationSeparator" w:id="0">
    <w:p w14:paraId="43F6B9A6" w14:textId="77777777" w:rsidR="0083197B" w:rsidRDefault="008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87B7" w14:textId="77777777" w:rsidR="0083197B" w:rsidRDefault="0083197B">
      <w:r>
        <w:separator/>
      </w:r>
    </w:p>
  </w:footnote>
  <w:footnote w:type="continuationSeparator" w:id="0">
    <w:p w14:paraId="7AD6E3BB" w14:textId="77777777" w:rsidR="0083197B" w:rsidRDefault="0083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D2C6" w14:textId="77777777" w:rsidR="00D042CD" w:rsidRDefault="0083197B">
    <w:pPr>
      <w:pStyle w:val="Header"/>
    </w:pPr>
    <w:r>
      <w:rPr>
        <w:noProof/>
        <w:lang w:eastAsia="en-GB"/>
      </w:rPr>
      <w:drawing>
        <wp:inline distT="0" distB="0" distL="0" distR="0" wp14:anchorId="0C96CBCC" wp14:editId="10151BD1">
          <wp:extent cx="1790700" cy="5619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              </w:t>
    </w:r>
    <w:r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2C8"/>
    <w:multiLevelType w:val="multilevel"/>
    <w:tmpl w:val="2B5A9F66"/>
    <w:lvl w:ilvl="0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94411"/>
    <w:multiLevelType w:val="multilevel"/>
    <w:tmpl w:val="E236C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CD"/>
    <w:rsid w:val="00362D93"/>
    <w:rsid w:val="00632F9A"/>
    <w:rsid w:val="006436B1"/>
    <w:rsid w:val="006A4FFC"/>
    <w:rsid w:val="006B4ADE"/>
    <w:rsid w:val="00751C7A"/>
    <w:rsid w:val="0083197B"/>
    <w:rsid w:val="00B45A11"/>
    <w:rsid w:val="00BC24A3"/>
    <w:rsid w:val="00C41598"/>
    <w:rsid w:val="00D042CD"/>
    <w:rsid w:val="00EE595C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1EC0"/>
  <w15:docId w15:val="{212FE7AC-26B9-4AF5-B170-8F16FA9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pPr>
      <w:numPr>
        <w:numId w:val="1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D93"/>
    <w:rPr>
      <w:rFonts w:asciiTheme="majorHAnsi" w:eastAsiaTheme="majorEastAsia" w:hAnsiTheme="majorHAnsi" w:cstheme="majorBidi"/>
      <w:b/>
      <w:bCs/>
      <w:color w:val="4F81BD" w:themeColor="accent1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t&amp;rct=j&amp;q=&amp;esrc=s&amp;source=web&amp;cd=1&amp;cad=rja&amp;uact=8&amp;ved=0CCEQFjAA&amp;url=http%3A%2F%2Fwww.legislation.gov.uk%2Fukpga%2F2014%2F12%2Fcontents%2Fenacted&amp;ei=gGaeVbC5E8H1-QHx24H4BA&amp;usg=AFQjCNHbOtreLTzdCcGD6Anj3lOsKYQReg&amp;bvm=bv.96952980,d.Z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t&amp;rct=j&amp;q=&amp;esrc=s&amp;source=web&amp;cd=1&amp;cad=rja&amp;uact=8&amp;ved=0CCEQFjAA&amp;url=http%3A%2F%2Fwww.legislation.gov.uk%2Fukpga%2F2014%2F12%2Fcontents%2Fenacted&amp;ei=gGaeVbC5E8H1-QHx24H4BA&amp;usg=AFQjCNHbOtreLTzdCcGD6Anj3lOsKYQReg&amp;bvm=bv.96952980,d.ZG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t&amp;rct=j&amp;q=&amp;esrc=s&amp;source=web&amp;cd=1&amp;cad=rja&amp;uact=8&amp;ved=0CCEQFjAA&amp;url=http%3A%2F%2Fwww.legislation.gov.uk%2Fukpga%2F2014%2F12%2Fcontents%2Fenacted&amp;ei=gGaeVbC5E8H1-QHx24H4BA&amp;usg=AFQjCNHbOtreLTzdCcGD6Anj3lOsKYQReg&amp;bvm=bv.96952980,d.Z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Equality – The Equality Act 2010</vt:lpstr>
    </vt:vector>
  </TitlesOfParts>
  <Company>Fenland District Council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Alan Boughen</cp:lastModifiedBy>
  <cp:revision>2</cp:revision>
  <cp:lastPrinted>2011-06-22T14:55:00Z</cp:lastPrinted>
  <dcterms:created xsi:type="dcterms:W3CDTF">2022-01-11T11:12:00Z</dcterms:created>
  <dcterms:modified xsi:type="dcterms:W3CDTF">2022-01-11T11:12:00Z</dcterms:modified>
  <dc:language>en-GB</dc:language>
</cp:coreProperties>
</file>