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r w:rsidRPr="002F602A">
        <w:t>whether</w:t>
      </w:r>
      <w:r w:rsidRPr="002F602A">
        <w:rPr>
          <w:spacing w:val="-7"/>
        </w:rPr>
        <w:t xml:space="preserve"> </w:t>
      </w:r>
      <w:r w:rsidRPr="002F602A">
        <w:t>or</w:t>
      </w:r>
      <w:r w:rsidRPr="002F602A">
        <w:rPr>
          <w:spacing w:val="-11"/>
        </w:rPr>
        <w:t xml:space="preserve"> </w:t>
      </w:r>
      <w:r w:rsidRPr="002F602A">
        <w:t>not</w:t>
      </w:r>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50F4E6D0" w14:textId="0D9305A7" w:rsidR="001E0ADF" w:rsidRDefault="005F78CB" w:rsidP="00D02CC0">
            <w:r w:rsidRPr="00362D93">
              <w:rPr>
                <w:rFonts w:cs="Arial"/>
                <w:color w:val="000000" w:themeColor="text1"/>
                <w:sz w:val="20"/>
                <w:szCs w:val="20"/>
              </w:rPr>
              <w:t>The Anti-social behaviour (ASB) policy</w:t>
            </w:r>
            <w:r>
              <w:rPr>
                <w:rFonts w:cs="Arial"/>
                <w:b/>
                <w:color w:val="000000" w:themeColor="text1"/>
                <w:sz w:val="20"/>
                <w:szCs w:val="20"/>
              </w:rPr>
              <w:t>.</w:t>
            </w:r>
            <w:r w:rsidR="00C24CD5">
              <w:rPr>
                <w:color w:val="000000" w:themeColor="text1"/>
                <w:sz w:val="20"/>
                <w:szCs w:val="20"/>
              </w:rPr>
              <w:t>.</w:t>
            </w:r>
            <w:r w:rsidR="00686A83" w:rsidRPr="00EB7042">
              <w:rPr>
                <w:sz w:val="20"/>
                <w:szCs w:val="20"/>
              </w:rPr>
              <w:t xml:space="preserve"> </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7DBA139F" w14:textId="36CD1CB4" w:rsidR="00EB7042" w:rsidRPr="00EB7042" w:rsidRDefault="005F78CB" w:rsidP="00EB7042">
            <w:pPr>
              <w:rPr>
                <w:sz w:val="20"/>
                <w:szCs w:val="20"/>
              </w:rPr>
            </w:pPr>
            <w:r w:rsidRPr="005F78CB">
              <w:rPr>
                <w:sz w:val="20"/>
                <w:szCs w:val="20"/>
              </w:rPr>
              <w:t>Annual review</w:t>
            </w:r>
            <w:r w:rsidR="00E4539B">
              <w:rPr>
                <w:sz w:val="20"/>
                <w:szCs w:val="20"/>
              </w:rPr>
              <w:t>.</w:t>
            </w:r>
          </w:p>
          <w:p w14:paraId="668FC6CD" w14:textId="77777777" w:rsidR="00EB7042" w:rsidRPr="00EB7042" w:rsidRDefault="00EB7042" w:rsidP="00EB7042">
            <w:pPr>
              <w:rPr>
                <w:sz w:val="20"/>
                <w:szCs w:val="20"/>
              </w:rPr>
            </w:pPr>
          </w:p>
          <w:p w14:paraId="3DB07765" w14:textId="03312EB9" w:rsidR="001E0ADF" w:rsidRDefault="00EB7042" w:rsidP="00EB7042">
            <w:pPr>
              <w:rPr>
                <w:sz w:val="20"/>
                <w:szCs w:val="20"/>
              </w:rPr>
            </w:pPr>
            <w:r w:rsidRPr="00EB7042">
              <w:rPr>
                <w:sz w:val="20"/>
                <w:szCs w:val="20"/>
              </w:rPr>
              <w:t>.</w:t>
            </w:r>
          </w:p>
          <w:p w14:paraId="1B78FF88" w14:textId="77777777" w:rsidR="008313C5" w:rsidRDefault="008313C5" w:rsidP="00EB7042">
            <w:pPr>
              <w:rPr>
                <w:sz w:val="20"/>
                <w:szCs w:val="20"/>
              </w:rPr>
            </w:pPr>
          </w:p>
          <w:p w14:paraId="061DAE66" w14:textId="77777777" w:rsidR="008313C5" w:rsidRDefault="008313C5" w:rsidP="00EB7042">
            <w:pPr>
              <w:rPr>
                <w:sz w:val="20"/>
                <w:szCs w:val="20"/>
              </w:rPr>
            </w:pPr>
          </w:p>
          <w:p w14:paraId="24719D57" w14:textId="77777777" w:rsidR="008313C5" w:rsidRDefault="008313C5" w:rsidP="00EB7042">
            <w:pPr>
              <w:rPr>
                <w:sz w:val="20"/>
                <w:szCs w:val="20"/>
              </w:rPr>
            </w:pPr>
          </w:p>
          <w:p w14:paraId="3055FC6D" w14:textId="34CA930B" w:rsidR="00C53900" w:rsidRPr="005F78CB" w:rsidRDefault="00C53900" w:rsidP="00EB7042">
            <w:pPr>
              <w:rPr>
                <w:sz w:val="20"/>
                <w:szCs w:val="20"/>
              </w:rPr>
            </w:pP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lastRenderedPageBreak/>
              <w:t>List main outcome focus and supporting activities of the Policy, Project, Service Reform or Budget Option</w:t>
            </w:r>
          </w:p>
        </w:tc>
        <w:tc>
          <w:tcPr>
            <w:tcW w:w="10915" w:type="dxa"/>
          </w:tcPr>
          <w:p w14:paraId="772C959E" w14:textId="77777777" w:rsidR="00D02CC0" w:rsidRPr="00C53900" w:rsidRDefault="00D02CC0" w:rsidP="00D02CC0">
            <w:pPr>
              <w:rPr>
                <w:sz w:val="20"/>
                <w:szCs w:val="20"/>
              </w:rPr>
            </w:pPr>
            <w:r w:rsidRPr="00C53900">
              <w:rPr>
                <w:sz w:val="20"/>
                <w:szCs w:val="20"/>
              </w:rPr>
              <w:t>The Anti-social behaviour (ASB) policy document for the councils community safety service that outlines the purpose of the council’s responsibility to deliver and support resolutions of reports of ASB, these responsibilities are directly linked to Anti-social Behaviour, Crime and Policing Act 2014.</w:t>
            </w:r>
          </w:p>
          <w:p w14:paraId="0474B55B" w14:textId="77777777" w:rsidR="00D02CC0" w:rsidRPr="00C53900" w:rsidRDefault="00D02CC0" w:rsidP="00D02CC0">
            <w:pPr>
              <w:rPr>
                <w:sz w:val="20"/>
                <w:szCs w:val="20"/>
              </w:rPr>
            </w:pPr>
          </w:p>
          <w:p w14:paraId="0C5E075A" w14:textId="77777777" w:rsidR="00D02CC0" w:rsidRPr="00362D93" w:rsidRDefault="00D02CC0" w:rsidP="00D02CC0">
            <w:pPr>
              <w:rPr>
                <w:color w:val="000000" w:themeColor="text1"/>
                <w:sz w:val="20"/>
                <w:szCs w:val="20"/>
              </w:rPr>
            </w:pPr>
            <w:r w:rsidRPr="00C53900">
              <w:rPr>
                <w:sz w:val="20"/>
                <w:szCs w:val="20"/>
              </w:rPr>
              <w:t>All case management and partnership interventions are delivered in accordance to the ASB policy document.</w:t>
            </w:r>
          </w:p>
          <w:p w14:paraId="32C60644" w14:textId="14D4F6F3" w:rsidR="001E0ADF" w:rsidRDefault="001E0ADF" w:rsidP="000B7305"/>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t>Name of officer completing assessment (signed and date)</w:t>
            </w:r>
          </w:p>
        </w:tc>
        <w:tc>
          <w:tcPr>
            <w:tcW w:w="10915" w:type="dxa"/>
          </w:tcPr>
          <w:p w14:paraId="358493F4" w14:textId="356BF258" w:rsidR="00E9542C" w:rsidRDefault="005F78CB" w:rsidP="009D2978">
            <w:pPr>
              <w:pStyle w:val="BodyText"/>
              <w:spacing w:before="0"/>
              <w:ind w:left="0"/>
              <w:rPr>
                <w:sz w:val="20"/>
                <w:szCs w:val="20"/>
              </w:rPr>
            </w:pPr>
            <w:r w:rsidRPr="00C24CD5">
              <w:rPr>
                <w:sz w:val="20"/>
                <w:szCs w:val="20"/>
              </w:rPr>
              <w:t>Rosie Cooke</w:t>
            </w:r>
            <w:r w:rsidR="00E9542C">
              <w:rPr>
                <w:sz w:val="20"/>
                <w:szCs w:val="20"/>
              </w:rPr>
              <w:t xml:space="preserve"> </w:t>
            </w:r>
            <w:r w:rsidR="00650DCE">
              <w:rPr>
                <w:sz w:val="20"/>
                <w:szCs w:val="20"/>
              </w:rPr>
              <w:t>C</w:t>
            </w:r>
            <w:r w:rsidR="00E9542C">
              <w:rPr>
                <w:sz w:val="20"/>
                <w:szCs w:val="20"/>
              </w:rPr>
              <w:t xml:space="preserve">ommunity </w:t>
            </w:r>
            <w:r w:rsidR="00650DCE">
              <w:rPr>
                <w:sz w:val="20"/>
                <w:szCs w:val="20"/>
              </w:rPr>
              <w:t>S</w:t>
            </w:r>
            <w:r w:rsidR="00E9542C">
              <w:rPr>
                <w:sz w:val="20"/>
                <w:szCs w:val="20"/>
              </w:rPr>
              <w:t xml:space="preserve">afety &amp; </w:t>
            </w:r>
            <w:r w:rsidR="00650DCE">
              <w:rPr>
                <w:sz w:val="20"/>
                <w:szCs w:val="20"/>
              </w:rPr>
              <w:t>P</w:t>
            </w:r>
            <w:r w:rsidR="00E9542C">
              <w:rPr>
                <w:sz w:val="20"/>
                <w:szCs w:val="20"/>
              </w:rPr>
              <w:t xml:space="preserve">rojects </w:t>
            </w:r>
            <w:r w:rsidR="00650DCE">
              <w:rPr>
                <w:sz w:val="20"/>
                <w:szCs w:val="20"/>
              </w:rPr>
              <w:t>O</w:t>
            </w:r>
            <w:r w:rsidR="00E9542C">
              <w:rPr>
                <w:sz w:val="20"/>
                <w:szCs w:val="20"/>
              </w:rPr>
              <w:t>fficer</w:t>
            </w:r>
          </w:p>
          <w:p w14:paraId="6A980B42" w14:textId="64809FF0" w:rsidR="001E0ADF" w:rsidRPr="00C24CD5" w:rsidRDefault="005F78CB" w:rsidP="009D2978">
            <w:pPr>
              <w:pStyle w:val="BodyText"/>
              <w:spacing w:before="0"/>
              <w:ind w:left="0"/>
              <w:rPr>
                <w:sz w:val="20"/>
                <w:szCs w:val="20"/>
              </w:rPr>
            </w:pPr>
            <w:r w:rsidRPr="00C24CD5">
              <w:rPr>
                <w:sz w:val="20"/>
                <w:szCs w:val="20"/>
              </w:rPr>
              <w:t xml:space="preserve"> 23/12/2024</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714DAC8F" w:rsidR="001E0ADF" w:rsidRDefault="0079183A" w:rsidP="009D2978">
            <w:pPr>
              <w:pStyle w:val="BodyText"/>
              <w:spacing w:before="0"/>
              <w:ind w:left="0"/>
            </w:pPr>
            <w:r w:rsidRPr="006D5C9E">
              <w:rPr>
                <w:noProof/>
              </w:rPr>
              <w:drawing>
                <wp:inline distT="0" distB="0" distL="0" distR="0" wp14:anchorId="560A7B46" wp14:editId="6AC1DF40">
                  <wp:extent cx="1473200" cy="381337"/>
                  <wp:effectExtent l="0" t="0" r="0" b="0"/>
                  <wp:docPr id="860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817" cy="390815"/>
                          </a:xfrm>
                          <a:prstGeom prst="rect">
                            <a:avLst/>
                          </a:prstGeom>
                          <a:noFill/>
                          <a:ln>
                            <a:noFill/>
                          </a:ln>
                        </pic:spPr>
                      </pic:pic>
                    </a:graphicData>
                  </a:graphic>
                </wp:inline>
              </w:drawing>
            </w:r>
            <w:r>
              <w:t>12/02/2025</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ame and description of policy being analysed</w:t>
            </w:r>
          </w:p>
          <w:p w14:paraId="305EE25F" w14:textId="77777777" w:rsidR="00C24CD5" w:rsidRPr="00C24CD5" w:rsidRDefault="00C24CD5" w:rsidP="00695B8E">
            <w:pPr>
              <w:rPr>
                <w:rFonts w:eastAsia="Times New Roman" w:cs="Arial"/>
                <w:i/>
                <w:kern w:val="0"/>
                <w:sz w:val="22"/>
                <w:lang w:val="en-US"/>
                <w14:ligatures w14:val="none"/>
              </w:rPr>
            </w:pPr>
          </w:p>
          <w:p w14:paraId="3951CD90" w14:textId="77777777" w:rsidR="000B7305" w:rsidRPr="00C24CD5" w:rsidRDefault="000B7305" w:rsidP="000B7305">
            <w:pPr>
              <w:spacing w:after="300"/>
              <w:textAlignment w:val="baseline"/>
              <w:rPr>
                <w:rFonts w:eastAsia="Times New Roman" w:cs="Arial"/>
                <w:color w:val="4A4A4A"/>
                <w:kern w:val="0"/>
                <w:sz w:val="20"/>
                <w:szCs w:val="20"/>
                <w:lang w:eastAsia="en-GB"/>
                <w14:ligatures w14:val="none"/>
              </w:rPr>
            </w:pPr>
            <w:r w:rsidRPr="00C24CD5">
              <w:rPr>
                <w:rFonts w:eastAsia="Times New Roman" w:cs="Arial"/>
                <w:iCs/>
                <w:kern w:val="0"/>
                <w:sz w:val="20"/>
                <w:szCs w:val="20"/>
                <w:lang w:val="en-US"/>
                <w14:ligatures w14:val="none"/>
              </w:rPr>
              <w:t xml:space="preserve">The ASB policy supports the delivery of </w:t>
            </w:r>
            <w:r>
              <w:rPr>
                <w:rFonts w:eastAsia="Times New Roman" w:cs="Arial"/>
                <w:iCs/>
                <w:kern w:val="0"/>
                <w:sz w:val="20"/>
                <w:szCs w:val="20"/>
                <w:lang w:val="en-US"/>
                <w14:ligatures w14:val="none"/>
              </w:rPr>
              <w:t>a</w:t>
            </w:r>
            <w:r w:rsidRPr="00C24CD5">
              <w:rPr>
                <w:rFonts w:eastAsia="Times New Roman" w:cs="Arial"/>
                <w:iCs/>
                <w:kern w:val="0"/>
                <w:sz w:val="20"/>
                <w:szCs w:val="20"/>
                <w:lang w:val="en-US"/>
                <w14:ligatures w14:val="none"/>
              </w:rPr>
              <w:t xml:space="preserve">nti-social behavior </w:t>
            </w:r>
            <w:r>
              <w:rPr>
                <w:rFonts w:eastAsia="Times New Roman" w:cs="Arial"/>
                <w:iCs/>
                <w:kern w:val="0"/>
                <w:sz w:val="20"/>
                <w:szCs w:val="20"/>
                <w:lang w:val="en-US"/>
                <w14:ligatures w14:val="none"/>
              </w:rPr>
              <w:t>support</w:t>
            </w:r>
            <w:r w:rsidRPr="00C24CD5">
              <w:rPr>
                <w:rFonts w:eastAsia="Times New Roman" w:cs="Arial"/>
                <w:iCs/>
                <w:kern w:val="0"/>
                <w:sz w:val="20"/>
                <w:szCs w:val="20"/>
                <w:lang w:val="en-US"/>
                <w14:ligatures w14:val="none"/>
              </w:rPr>
              <w:t xml:space="preserve"> services to residents residing in Fenland.</w:t>
            </w:r>
            <w:r w:rsidRPr="00C24CD5">
              <w:rPr>
                <w:rFonts w:eastAsia="Times New Roman" w:cs="Arial"/>
                <w:color w:val="4A4A4A"/>
                <w:kern w:val="0"/>
                <w:sz w:val="20"/>
                <w:szCs w:val="20"/>
                <w:lang w:eastAsia="en-GB"/>
                <w14:ligatures w14:val="none"/>
              </w:rPr>
              <w:t xml:space="preserve"> Defined in the Anti-Social Behaviour Act 2003, it is 'behaviour by a person which causes, or is likely to cause, harassment, alarm or distress to persons not of the same household as the person.'</w:t>
            </w:r>
            <w:r>
              <w:rPr>
                <w:rFonts w:eastAsia="Times New Roman" w:cs="Arial"/>
                <w:color w:val="4A4A4A"/>
                <w:kern w:val="0"/>
                <w:sz w:val="20"/>
                <w:szCs w:val="20"/>
                <w:lang w:eastAsia="en-GB"/>
                <w14:ligatures w14:val="none"/>
              </w:rPr>
              <w:t xml:space="preserve"> Below are the three amin areas of ASB, community safety investigate.</w:t>
            </w:r>
          </w:p>
          <w:p w14:paraId="1247E3EF" w14:textId="77777777" w:rsidR="000B7305" w:rsidRPr="00C24CD5" w:rsidRDefault="000B7305" w:rsidP="000B7305">
            <w:pPr>
              <w:textAlignment w:val="baseline"/>
              <w:rPr>
                <w:rFonts w:eastAsia="Times New Roman" w:cs="Arial"/>
                <w:color w:val="4A4A4A"/>
                <w:kern w:val="0"/>
                <w:sz w:val="20"/>
                <w:szCs w:val="20"/>
                <w:lang w:eastAsia="en-GB"/>
                <w14:ligatures w14:val="none"/>
              </w:rPr>
            </w:pPr>
            <w:r w:rsidRPr="00C24CD5">
              <w:rPr>
                <w:rFonts w:eastAsia="Times New Roman" w:cs="Arial"/>
                <w:color w:val="4A4A4A"/>
                <w:kern w:val="0"/>
                <w:sz w:val="20"/>
                <w:szCs w:val="20"/>
                <w:bdr w:val="none" w:sz="0" w:space="0" w:color="auto" w:frame="1"/>
                <w:lang w:eastAsia="en-GB"/>
                <w14:ligatures w14:val="none"/>
              </w:rPr>
              <w:t>There are three main types of ASB:</w:t>
            </w:r>
          </w:p>
          <w:p w14:paraId="6AFFFA66" w14:textId="77777777" w:rsidR="000B7305" w:rsidRPr="00C24CD5" w:rsidRDefault="000B7305" w:rsidP="000B7305">
            <w:pPr>
              <w:numPr>
                <w:ilvl w:val="0"/>
                <w:numId w:val="27"/>
              </w:numPr>
              <w:textAlignment w:val="baseline"/>
              <w:rPr>
                <w:rFonts w:eastAsia="Times New Roman" w:cs="Arial"/>
                <w:color w:val="4A4A4A"/>
                <w:kern w:val="0"/>
                <w:sz w:val="20"/>
                <w:szCs w:val="20"/>
                <w:lang w:eastAsia="en-GB"/>
                <w14:ligatures w14:val="none"/>
              </w:rPr>
            </w:pPr>
            <w:r w:rsidRPr="00C24CD5">
              <w:rPr>
                <w:rFonts w:eastAsia="Times New Roman" w:cs="Arial"/>
                <w:color w:val="4A4A4A"/>
                <w:kern w:val="0"/>
                <w:sz w:val="20"/>
                <w:szCs w:val="20"/>
                <w:lang w:eastAsia="en-GB"/>
                <w14:ligatures w14:val="none"/>
              </w:rPr>
              <w:t>Personal ASB is when someone targets a specific individual or group</w:t>
            </w:r>
          </w:p>
          <w:p w14:paraId="79360C31" w14:textId="77777777" w:rsidR="000B7305" w:rsidRPr="00C24CD5" w:rsidRDefault="000B7305" w:rsidP="000B7305">
            <w:pPr>
              <w:numPr>
                <w:ilvl w:val="0"/>
                <w:numId w:val="27"/>
              </w:numPr>
              <w:textAlignment w:val="baseline"/>
              <w:rPr>
                <w:rFonts w:eastAsia="Times New Roman" w:cs="Arial"/>
                <w:color w:val="4A4A4A"/>
                <w:kern w:val="0"/>
                <w:sz w:val="20"/>
                <w:szCs w:val="20"/>
                <w:lang w:eastAsia="en-GB"/>
                <w14:ligatures w14:val="none"/>
              </w:rPr>
            </w:pPr>
            <w:r w:rsidRPr="00C24CD5">
              <w:rPr>
                <w:rFonts w:eastAsia="Times New Roman" w:cs="Arial"/>
                <w:color w:val="4A4A4A"/>
                <w:kern w:val="0"/>
                <w:sz w:val="20"/>
                <w:szCs w:val="20"/>
                <w:lang w:eastAsia="en-GB"/>
                <w14:ligatures w14:val="none"/>
              </w:rPr>
              <w:t>Nuisance ASB is when someone causes trouble, annoyance or suffering to a community</w:t>
            </w:r>
          </w:p>
          <w:p w14:paraId="297EBECB" w14:textId="77777777" w:rsidR="000B7305" w:rsidRPr="00C24CD5" w:rsidRDefault="000B7305" w:rsidP="000B7305">
            <w:pPr>
              <w:numPr>
                <w:ilvl w:val="0"/>
                <w:numId w:val="27"/>
              </w:numPr>
              <w:textAlignment w:val="baseline"/>
              <w:rPr>
                <w:rFonts w:eastAsia="Times New Roman" w:cs="Arial"/>
                <w:color w:val="4A4A4A"/>
                <w:kern w:val="0"/>
                <w:sz w:val="20"/>
                <w:szCs w:val="20"/>
                <w:lang w:eastAsia="en-GB"/>
                <w14:ligatures w14:val="none"/>
              </w:rPr>
            </w:pPr>
            <w:r w:rsidRPr="00C24CD5">
              <w:rPr>
                <w:rFonts w:eastAsia="Times New Roman" w:cs="Arial"/>
                <w:color w:val="4A4A4A"/>
                <w:kern w:val="0"/>
                <w:sz w:val="20"/>
                <w:szCs w:val="20"/>
                <w:lang w:eastAsia="en-GB"/>
                <w14:ligatures w14:val="none"/>
              </w:rPr>
              <w:t>Environmental ASB is when someone's actions affect the wider environment, such as public spaces or buildings</w:t>
            </w:r>
          </w:p>
          <w:p w14:paraId="035493B6" w14:textId="77777777" w:rsidR="00484FE3" w:rsidRPr="00484FE3" w:rsidRDefault="00484FE3" w:rsidP="009D2978">
            <w:pPr>
              <w:pStyle w:val="BodyText"/>
              <w:spacing w:before="0"/>
              <w:ind w:left="0"/>
              <w:rPr>
                <w:sz w:val="22"/>
                <w:szCs w:val="22"/>
              </w:rPr>
            </w:pPr>
          </w:p>
          <w:p w14:paraId="0C03C56B" w14:textId="1B1374BD" w:rsidR="00695B8E" w:rsidRPr="00484FE3" w:rsidRDefault="000B7305" w:rsidP="009D2978">
            <w:pPr>
              <w:pStyle w:val="BodyText"/>
              <w:spacing w:before="0"/>
              <w:ind w:left="0"/>
              <w:rPr>
                <w:sz w:val="22"/>
                <w:szCs w:val="22"/>
              </w:rPr>
            </w:pPr>
            <w:r w:rsidRPr="00EB7042">
              <w:rPr>
                <w:sz w:val="20"/>
                <w:szCs w:val="20"/>
              </w:rPr>
              <w:t xml:space="preserve">All case management and partnership interventions are delivered in accordance </w:t>
            </w:r>
            <w:r w:rsidR="00E9542C" w:rsidRPr="00EB7042">
              <w:rPr>
                <w:sz w:val="20"/>
                <w:szCs w:val="20"/>
              </w:rPr>
              <w:t>with</w:t>
            </w:r>
            <w:r w:rsidRPr="00EB7042">
              <w:rPr>
                <w:sz w:val="20"/>
                <w:szCs w:val="20"/>
              </w:rPr>
              <w:t xml:space="preserve"> the ASB policy document</w:t>
            </w: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4ED8AC29" w:rsidR="00CD0CD8" w:rsidRDefault="0079183A" w:rsidP="00CD0CD8">
            <w:pPr>
              <w:tabs>
                <w:tab w:val="left" w:pos="1620"/>
              </w:tabs>
              <w:rPr>
                <w:rFonts w:cs="Arial"/>
                <w:szCs w:val="24"/>
              </w:rPr>
            </w:pPr>
            <w:r>
              <w:rPr>
                <w:sz w:val="20"/>
                <w:szCs w:val="20"/>
              </w:rPr>
              <w:t>CSO Officers group</w:t>
            </w:r>
            <w:r w:rsidR="00BD00EF">
              <w:rPr>
                <w:sz w:val="20"/>
                <w:szCs w:val="20"/>
              </w:rPr>
              <w:t xml:space="preserve"> and relevant frontline services / organisations. (Police &amp; Registered Social Landlords) Reference to Home Office Guidance for Professionals.</w:t>
            </w:r>
          </w:p>
          <w:p w14:paraId="5A2771BC" w14:textId="67DDDF95" w:rsidR="00CD0CD8" w:rsidRDefault="00CD0CD8" w:rsidP="00CD0CD8">
            <w:pPr>
              <w:tabs>
                <w:tab w:val="left" w:pos="1620"/>
              </w:tabs>
              <w:rPr>
                <w:rFonts w:cs="Arial"/>
                <w:szCs w:val="24"/>
              </w:rPr>
            </w:pPr>
          </w:p>
        </w:tc>
        <w:tc>
          <w:tcPr>
            <w:tcW w:w="4649" w:type="dxa"/>
          </w:tcPr>
          <w:p w14:paraId="364322B9" w14:textId="77777777" w:rsidR="00124F4D" w:rsidRDefault="00124F4D" w:rsidP="001E0ADF">
            <w:pPr>
              <w:rPr>
                <w:rFonts w:cs="Arial"/>
                <w:szCs w:val="24"/>
              </w:rPr>
            </w:pPr>
          </w:p>
        </w:tc>
        <w:tc>
          <w:tcPr>
            <w:tcW w:w="5298" w:type="dxa"/>
          </w:tcPr>
          <w:p w14:paraId="4897DC7D" w14:textId="612DEF00" w:rsidR="00CD0CD8" w:rsidRPr="00E9542C" w:rsidRDefault="00E9542C" w:rsidP="00EE0E55">
            <w:pPr>
              <w:rPr>
                <w:rFonts w:cs="Arial"/>
                <w:sz w:val="20"/>
                <w:szCs w:val="20"/>
              </w:rPr>
            </w:pPr>
            <w:r w:rsidRPr="00E9542C">
              <w:rPr>
                <w:rFonts w:cs="Arial"/>
                <w:sz w:val="20"/>
                <w:szCs w:val="20"/>
              </w:rPr>
              <w:t xml:space="preserve">ASB partnership officer updates and refreshes practice of ASB. </w:t>
            </w:r>
          </w:p>
        </w:tc>
      </w:tr>
      <w:tr w:rsidR="001E0ADF" w14:paraId="4DF776CA" w14:textId="77777777" w:rsidTr="00484FE3">
        <w:tc>
          <w:tcPr>
            <w:tcW w:w="4649" w:type="dxa"/>
          </w:tcPr>
          <w:p w14:paraId="644A1D75" w14:textId="1B0006A8" w:rsidR="001E0ADF" w:rsidRPr="00E9542C" w:rsidRDefault="00E9542C" w:rsidP="001E0ADF">
            <w:pPr>
              <w:rPr>
                <w:rFonts w:cs="Arial"/>
                <w:sz w:val="20"/>
                <w:szCs w:val="20"/>
              </w:rPr>
            </w:pPr>
            <w:r w:rsidRPr="00E9542C">
              <w:rPr>
                <w:rFonts w:cs="Arial"/>
                <w:sz w:val="20"/>
                <w:szCs w:val="20"/>
              </w:rPr>
              <w:t>PSG -  Problem solving group</w:t>
            </w:r>
          </w:p>
        </w:tc>
        <w:tc>
          <w:tcPr>
            <w:tcW w:w="4649" w:type="dxa"/>
          </w:tcPr>
          <w:p w14:paraId="0A590007" w14:textId="77777777" w:rsidR="001E0ADF" w:rsidRDefault="001E0ADF" w:rsidP="001E0ADF">
            <w:pPr>
              <w:rPr>
                <w:rFonts w:cs="Arial"/>
                <w:szCs w:val="24"/>
              </w:rPr>
            </w:pPr>
          </w:p>
        </w:tc>
        <w:tc>
          <w:tcPr>
            <w:tcW w:w="5298" w:type="dxa"/>
          </w:tcPr>
          <w:p w14:paraId="36ADC4FB" w14:textId="77777777" w:rsidR="00E9542C" w:rsidRDefault="00E9542C" w:rsidP="001E0ADF">
            <w:pPr>
              <w:rPr>
                <w:rFonts w:cs="Arial"/>
                <w:sz w:val="20"/>
                <w:szCs w:val="20"/>
              </w:rPr>
            </w:pPr>
            <w:r w:rsidRPr="00E9542C">
              <w:rPr>
                <w:rFonts w:cs="Arial"/>
                <w:sz w:val="20"/>
                <w:szCs w:val="20"/>
              </w:rPr>
              <w:t xml:space="preserve">Community safety manage the problem-solving group, which is a monthly meeting where police, probation, CGL, fire service, RSL’s, youth services, adult social care, education and health meet. </w:t>
            </w:r>
          </w:p>
          <w:p w14:paraId="6E0A7888" w14:textId="77777777" w:rsidR="00E9542C" w:rsidRDefault="00E9542C" w:rsidP="001E0ADF">
            <w:pPr>
              <w:rPr>
                <w:rFonts w:cs="Arial"/>
                <w:sz w:val="20"/>
                <w:szCs w:val="20"/>
              </w:rPr>
            </w:pPr>
          </w:p>
          <w:p w14:paraId="62DF7E49" w14:textId="77777777" w:rsidR="008857FD" w:rsidRDefault="00E9542C" w:rsidP="001E0ADF">
            <w:pPr>
              <w:rPr>
                <w:rFonts w:cs="Arial"/>
                <w:sz w:val="20"/>
                <w:szCs w:val="20"/>
              </w:rPr>
            </w:pPr>
            <w:r w:rsidRPr="00E9542C">
              <w:rPr>
                <w:rFonts w:cs="Arial"/>
                <w:sz w:val="20"/>
                <w:szCs w:val="20"/>
              </w:rPr>
              <w:t xml:space="preserve">This group </w:t>
            </w:r>
            <w:r w:rsidR="008857FD">
              <w:rPr>
                <w:rFonts w:cs="Arial"/>
                <w:sz w:val="20"/>
                <w:szCs w:val="20"/>
              </w:rPr>
              <w:t>discuss</w:t>
            </w:r>
            <w:r w:rsidR="008857FD" w:rsidRPr="00E9542C">
              <w:rPr>
                <w:rFonts w:cs="Arial"/>
                <w:sz w:val="20"/>
                <w:szCs w:val="20"/>
              </w:rPr>
              <w:t>,</w:t>
            </w:r>
            <w:r w:rsidR="008857FD">
              <w:rPr>
                <w:rFonts w:cs="Arial"/>
                <w:sz w:val="20"/>
                <w:szCs w:val="20"/>
              </w:rPr>
              <w:t xml:space="preserve"> cases</w:t>
            </w:r>
            <w:r w:rsidRPr="00E9542C">
              <w:rPr>
                <w:rFonts w:cs="Arial"/>
                <w:sz w:val="20"/>
                <w:szCs w:val="20"/>
              </w:rPr>
              <w:t>, pertaining to</w:t>
            </w:r>
            <w:r w:rsidR="008857FD">
              <w:rPr>
                <w:rFonts w:cs="Arial"/>
                <w:sz w:val="20"/>
                <w:szCs w:val="20"/>
              </w:rPr>
              <w:t xml:space="preserve"> problems places/people ASB, and vulnerable residents</w:t>
            </w:r>
            <w:r w:rsidRPr="00E9542C">
              <w:rPr>
                <w:rFonts w:cs="Arial"/>
                <w:sz w:val="20"/>
                <w:szCs w:val="20"/>
              </w:rPr>
              <w:t xml:space="preserve">. These are discussed within the group and appropriate services and initiatives </w:t>
            </w:r>
            <w:r w:rsidR="008857FD">
              <w:rPr>
                <w:rFonts w:cs="Arial"/>
                <w:sz w:val="20"/>
                <w:szCs w:val="20"/>
              </w:rPr>
              <w:t>identified</w:t>
            </w:r>
            <w:r w:rsidRPr="00E9542C">
              <w:rPr>
                <w:rFonts w:cs="Arial"/>
                <w:sz w:val="20"/>
                <w:szCs w:val="20"/>
              </w:rPr>
              <w:t>.</w:t>
            </w:r>
          </w:p>
          <w:p w14:paraId="20D5CD18" w14:textId="77777777" w:rsidR="008857FD" w:rsidRDefault="008857FD" w:rsidP="001E0ADF">
            <w:pPr>
              <w:rPr>
                <w:rFonts w:cs="Arial"/>
                <w:sz w:val="20"/>
                <w:szCs w:val="20"/>
              </w:rPr>
            </w:pPr>
          </w:p>
          <w:p w14:paraId="55B36AAB" w14:textId="4AEC0FF9" w:rsidR="001E0ADF" w:rsidRPr="00E9542C" w:rsidRDefault="00FC2F5A" w:rsidP="001E0ADF">
            <w:pPr>
              <w:rPr>
                <w:rFonts w:cs="Arial"/>
                <w:sz w:val="20"/>
                <w:szCs w:val="20"/>
              </w:rPr>
            </w:pPr>
            <w:r>
              <w:rPr>
                <w:rFonts w:cs="Arial"/>
                <w:sz w:val="20"/>
                <w:szCs w:val="20"/>
              </w:rPr>
              <w:t>O</w:t>
            </w:r>
            <w:r w:rsidR="00E9542C" w:rsidRPr="00E9542C">
              <w:rPr>
                <w:rFonts w:cs="Arial"/>
                <w:sz w:val="20"/>
                <w:szCs w:val="20"/>
              </w:rPr>
              <w:t>utcomes of this group inform</w:t>
            </w:r>
            <w:r>
              <w:rPr>
                <w:rFonts w:cs="Arial"/>
                <w:sz w:val="20"/>
                <w:szCs w:val="20"/>
              </w:rPr>
              <w:t xml:space="preserve"> are shared</w:t>
            </w:r>
            <w:r w:rsidR="00E9542C" w:rsidRPr="00E9542C">
              <w:rPr>
                <w:rFonts w:cs="Arial"/>
                <w:sz w:val="20"/>
                <w:szCs w:val="20"/>
              </w:rPr>
              <w:t xml:space="preserve"> and steer future approaches when dealing with </w:t>
            </w:r>
            <w:r w:rsidR="00277E2E">
              <w:rPr>
                <w:rFonts w:cs="Arial"/>
                <w:sz w:val="20"/>
                <w:szCs w:val="20"/>
              </w:rPr>
              <w:t>ASB</w:t>
            </w:r>
            <w:r w:rsidR="008857FD">
              <w:rPr>
                <w:rFonts w:cs="Arial"/>
                <w:sz w:val="20"/>
                <w:szCs w:val="20"/>
              </w:rPr>
              <w:t xml:space="preserve">. </w:t>
            </w:r>
          </w:p>
          <w:p w14:paraId="1362BCF3" w14:textId="77777777" w:rsidR="00E9542C" w:rsidRPr="00E9542C" w:rsidRDefault="00E9542C" w:rsidP="001E0ADF">
            <w:pPr>
              <w:rPr>
                <w:rFonts w:cs="Arial"/>
                <w:sz w:val="20"/>
                <w:szCs w:val="20"/>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p w14:paraId="303AD433" w14:textId="77777777" w:rsidR="008857FD" w:rsidRDefault="008857FD" w:rsidP="00484FE3">
      <w:pPr>
        <w:pStyle w:val="BodyText"/>
        <w:spacing w:before="0"/>
      </w:pPr>
    </w:p>
    <w:p w14:paraId="7290DD5D" w14:textId="77777777" w:rsidR="008857FD" w:rsidRDefault="008857FD" w:rsidP="00484FE3">
      <w:pPr>
        <w:pStyle w:val="BodyText"/>
        <w:spacing w:before="0"/>
      </w:pPr>
    </w:p>
    <w:p w14:paraId="3C9B7C3F" w14:textId="77777777" w:rsidR="008857FD" w:rsidRDefault="008857FD" w:rsidP="00484FE3">
      <w:pPr>
        <w:pStyle w:val="BodyText"/>
        <w:spacing w:before="0"/>
      </w:pPr>
    </w:p>
    <w:p w14:paraId="26EF02F5" w14:textId="77777777" w:rsidR="008857FD" w:rsidRDefault="008857FD" w:rsidP="00484FE3">
      <w:pPr>
        <w:pStyle w:val="BodyText"/>
        <w:spacing w:before="0"/>
      </w:pPr>
    </w:p>
    <w:p w14:paraId="5A72007F" w14:textId="77777777" w:rsidR="008857FD" w:rsidRDefault="008857FD" w:rsidP="00484FE3">
      <w:pPr>
        <w:pStyle w:val="BodyText"/>
        <w:spacing w:before="0"/>
      </w:pPr>
    </w:p>
    <w:p w14:paraId="5E2DAB4F" w14:textId="77777777" w:rsidR="008857FD" w:rsidRDefault="008857FD"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1534D034" w:rsidR="00484FE3" w:rsidRDefault="00C24CD5" w:rsidP="00484FE3">
            <w:pPr>
              <w:pStyle w:val="BodyText"/>
              <w:spacing w:before="0"/>
              <w:ind w:left="0"/>
            </w:pPr>
            <w:r>
              <w:rPr>
                <w:sz w:val="20"/>
                <w:szCs w:val="20"/>
              </w:rPr>
              <w:t xml:space="preserve">Due to the nature of ASB and that the services delivered in accordance to a number of legal Acts, including the Data Protection Act 2018, Human Rights Act 1998, </w:t>
            </w:r>
            <w:hyperlink r:id="rId12" w:history="1">
              <w:r w:rsidRPr="00362D93">
                <w:rPr>
                  <w:color w:val="000000" w:themeColor="text1"/>
                  <w:sz w:val="20"/>
                  <w:szCs w:val="20"/>
                  <w:lang w:eastAsia="en-GB"/>
                </w:rPr>
                <w:t>Anti-social Behaviour, Crime and Policing Act 2014</w:t>
              </w:r>
            </w:hyperlink>
            <w:r>
              <w:rPr>
                <w:color w:val="000000" w:themeColor="text1"/>
                <w:sz w:val="20"/>
                <w:szCs w:val="20"/>
                <w:lang w:eastAsia="en-GB"/>
              </w:rPr>
              <w:t xml:space="preserve"> </w:t>
            </w:r>
            <w:r>
              <w:rPr>
                <w:sz w:val="20"/>
                <w:szCs w:val="20"/>
              </w:rPr>
              <w:t>and the Crime and Disorder Act 1998, the policy is not developed through public consultation</w:t>
            </w: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a Positive Impact could benefit an equality group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3"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190573F3" w:rsidR="00713B84" w:rsidRDefault="0071772F" w:rsidP="003D5A86">
            <w:r>
              <w:rPr>
                <w:kern w:val="0"/>
                <w:sz w:val="22"/>
                <w14:ligatures w14:val="none"/>
              </w:rPr>
              <w:t>No identified negative impacts</w:t>
            </w:r>
          </w:p>
        </w:tc>
        <w:tc>
          <w:tcPr>
            <w:tcW w:w="2429" w:type="dxa"/>
          </w:tcPr>
          <w:p w14:paraId="08F5A552" w14:textId="77777777" w:rsidR="00713B84" w:rsidRDefault="00713B84" w:rsidP="003D5A86"/>
        </w:tc>
      </w:tr>
      <w:tr w:rsidR="0071772F" w14:paraId="3A6F56DB" w14:textId="6662611D" w:rsidTr="00713B84">
        <w:tc>
          <w:tcPr>
            <w:tcW w:w="2642" w:type="dxa"/>
          </w:tcPr>
          <w:p w14:paraId="2F9F6312" w14:textId="77777777" w:rsidR="0071772F" w:rsidRDefault="0071772F" w:rsidP="0071772F"/>
        </w:tc>
        <w:tc>
          <w:tcPr>
            <w:tcW w:w="2703" w:type="dxa"/>
          </w:tcPr>
          <w:p w14:paraId="10A86C9A" w14:textId="3AC2675F" w:rsidR="0071772F" w:rsidRDefault="0071772F" w:rsidP="0071772F">
            <w:r>
              <w:t>Men</w:t>
            </w:r>
          </w:p>
        </w:tc>
        <w:tc>
          <w:tcPr>
            <w:tcW w:w="2320" w:type="dxa"/>
          </w:tcPr>
          <w:p w14:paraId="285B193A" w14:textId="77777777" w:rsidR="0071772F" w:rsidRDefault="0071772F" w:rsidP="0071772F"/>
        </w:tc>
        <w:tc>
          <w:tcPr>
            <w:tcW w:w="2100" w:type="dxa"/>
          </w:tcPr>
          <w:p w14:paraId="7841F4C9" w14:textId="6B6E2829" w:rsidR="0071772F" w:rsidRDefault="0071772F" w:rsidP="0071772F">
            <w:pPr>
              <w:jc w:val="center"/>
            </w:pPr>
            <w:r w:rsidRPr="005965B0">
              <w:rPr>
                <w:b/>
                <w:bCs/>
              </w:rPr>
              <w:t>X</w:t>
            </w:r>
          </w:p>
        </w:tc>
        <w:tc>
          <w:tcPr>
            <w:tcW w:w="2366" w:type="dxa"/>
          </w:tcPr>
          <w:p w14:paraId="49E39246" w14:textId="5079E265" w:rsidR="0071772F" w:rsidRDefault="0071772F" w:rsidP="0071772F">
            <w:r w:rsidRPr="00261274">
              <w:rPr>
                <w:kern w:val="0"/>
                <w:sz w:val="22"/>
                <w14:ligatures w14:val="none"/>
              </w:rPr>
              <w:t>No identified negative impacts</w:t>
            </w:r>
          </w:p>
        </w:tc>
        <w:tc>
          <w:tcPr>
            <w:tcW w:w="2429" w:type="dxa"/>
          </w:tcPr>
          <w:p w14:paraId="6734888C" w14:textId="77777777" w:rsidR="0071772F" w:rsidRDefault="0071772F" w:rsidP="0071772F"/>
        </w:tc>
      </w:tr>
      <w:tr w:rsidR="0071772F" w14:paraId="144A39C3" w14:textId="717FAC9A" w:rsidTr="00713B84">
        <w:tc>
          <w:tcPr>
            <w:tcW w:w="2642" w:type="dxa"/>
          </w:tcPr>
          <w:p w14:paraId="5C63D7B7" w14:textId="77777777" w:rsidR="0071772F" w:rsidRDefault="0071772F" w:rsidP="0071772F"/>
        </w:tc>
        <w:tc>
          <w:tcPr>
            <w:tcW w:w="2703" w:type="dxa"/>
          </w:tcPr>
          <w:p w14:paraId="7D575E3E" w14:textId="145E1229" w:rsidR="0071772F" w:rsidRDefault="0071772F" w:rsidP="0071772F">
            <w:r>
              <w:t>Transgender</w:t>
            </w:r>
          </w:p>
        </w:tc>
        <w:tc>
          <w:tcPr>
            <w:tcW w:w="2320" w:type="dxa"/>
          </w:tcPr>
          <w:p w14:paraId="1BC77DC4" w14:textId="77777777" w:rsidR="0071772F" w:rsidRDefault="0071772F" w:rsidP="0071772F"/>
        </w:tc>
        <w:tc>
          <w:tcPr>
            <w:tcW w:w="2100" w:type="dxa"/>
          </w:tcPr>
          <w:p w14:paraId="02BC8F2F" w14:textId="7C078BE6" w:rsidR="0071772F" w:rsidRDefault="0071772F" w:rsidP="0071772F">
            <w:pPr>
              <w:jc w:val="center"/>
            </w:pPr>
            <w:r w:rsidRPr="005965B0">
              <w:rPr>
                <w:b/>
                <w:bCs/>
              </w:rPr>
              <w:t>X</w:t>
            </w:r>
          </w:p>
        </w:tc>
        <w:tc>
          <w:tcPr>
            <w:tcW w:w="2366" w:type="dxa"/>
          </w:tcPr>
          <w:p w14:paraId="4F308AD0" w14:textId="6EEF2A9C" w:rsidR="0071772F" w:rsidRDefault="0071772F" w:rsidP="0071772F">
            <w:r w:rsidRPr="00261274">
              <w:rPr>
                <w:kern w:val="0"/>
                <w:sz w:val="22"/>
                <w14:ligatures w14:val="none"/>
              </w:rPr>
              <w:t>No identified negative impacts</w:t>
            </w:r>
          </w:p>
        </w:tc>
        <w:tc>
          <w:tcPr>
            <w:tcW w:w="2429" w:type="dxa"/>
          </w:tcPr>
          <w:p w14:paraId="4A0D880E" w14:textId="77777777" w:rsidR="0071772F" w:rsidRDefault="0071772F" w:rsidP="0071772F"/>
        </w:tc>
      </w:tr>
      <w:tr w:rsidR="0071772F" w14:paraId="60766B0B" w14:textId="77777777" w:rsidTr="00713B84">
        <w:tc>
          <w:tcPr>
            <w:tcW w:w="2642" w:type="dxa"/>
          </w:tcPr>
          <w:p w14:paraId="3341862C" w14:textId="05457808" w:rsidR="0071772F" w:rsidRDefault="0071772F" w:rsidP="0071772F">
            <w:r>
              <w:lastRenderedPageBreak/>
              <w:t>Race</w:t>
            </w:r>
          </w:p>
        </w:tc>
        <w:tc>
          <w:tcPr>
            <w:tcW w:w="2703" w:type="dxa"/>
          </w:tcPr>
          <w:p w14:paraId="73C50F30" w14:textId="0E7AFFD9" w:rsidR="0071772F" w:rsidRDefault="0071772F" w:rsidP="0071772F">
            <w:r>
              <w:t xml:space="preserve">White </w:t>
            </w:r>
          </w:p>
        </w:tc>
        <w:tc>
          <w:tcPr>
            <w:tcW w:w="2320" w:type="dxa"/>
          </w:tcPr>
          <w:p w14:paraId="69E49008" w14:textId="77777777" w:rsidR="0071772F" w:rsidRDefault="0071772F" w:rsidP="0071772F"/>
        </w:tc>
        <w:tc>
          <w:tcPr>
            <w:tcW w:w="2100" w:type="dxa"/>
          </w:tcPr>
          <w:p w14:paraId="30100EEB" w14:textId="488F030C" w:rsidR="0071772F" w:rsidRDefault="0071772F" w:rsidP="0071772F">
            <w:pPr>
              <w:jc w:val="center"/>
            </w:pPr>
            <w:r w:rsidRPr="005965B0">
              <w:rPr>
                <w:b/>
                <w:bCs/>
              </w:rPr>
              <w:t>X</w:t>
            </w:r>
          </w:p>
        </w:tc>
        <w:tc>
          <w:tcPr>
            <w:tcW w:w="2366" w:type="dxa"/>
          </w:tcPr>
          <w:p w14:paraId="00767CD2" w14:textId="68428E6B" w:rsidR="0071772F" w:rsidRDefault="0071772F" w:rsidP="0071772F">
            <w:r w:rsidRPr="00261274">
              <w:rPr>
                <w:kern w:val="0"/>
                <w:sz w:val="22"/>
                <w14:ligatures w14:val="none"/>
              </w:rPr>
              <w:t>No identified negative impacts</w:t>
            </w:r>
          </w:p>
        </w:tc>
        <w:tc>
          <w:tcPr>
            <w:tcW w:w="2429" w:type="dxa"/>
          </w:tcPr>
          <w:p w14:paraId="5C9F25B5" w14:textId="77777777" w:rsidR="0071772F" w:rsidRDefault="0071772F" w:rsidP="0071772F"/>
        </w:tc>
      </w:tr>
      <w:tr w:rsidR="0071772F" w14:paraId="0FB9C5E0" w14:textId="77777777" w:rsidTr="00713B84">
        <w:tc>
          <w:tcPr>
            <w:tcW w:w="2642" w:type="dxa"/>
          </w:tcPr>
          <w:p w14:paraId="0CBFDD78" w14:textId="77777777" w:rsidR="0071772F" w:rsidRDefault="0071772F" w:rsidP="0071772F"/>
        </w:tc>
        <w:tc>
          <w:tcPr>
            <w:tcW w:w="2703" w:type="dxa"/>
          </w:tcPr>
          <w:p w14:paraId="379FF213" w14:textId="512F6CDA" w:rsidR="0071772F" w:rsidRDefault="0071772F" w:rsidP="0071772F">
            <w:r>
              <w:t>Mixed or Multiple Ethnic Groups</w:t>
            </w:r>
          </w:p>
        </w:tc>
        <w:tc>
          <w:tcPr>
            <w:tcW w:w="2320" w:type="dxa"/>
          </w:tcPr>
          <w:p w14:paraId="0E16A68F" w14:textId="6D839B79" w:rsidR="0071772F" w:rsidRDefault="00146F9B" w:rsidP="0071772F">
            <w:r>
              <w:t>Where language is a barrier to reporting translation services are provided.</w:t>
            </w:r>
          </w:p>
        </w:tc>
        <w:tc>
          <w:tcPr>
            <w:tcW w:w="2100" w:type="dxa"/>
          </w:tcPr>
          <w:p w14:paraId="5B6B151C" w14:textId="3174AD04" w:rsidR="0071772F" w:rsidRDefault="0071772F" w:rsidP="0071772F">
            <w:pPr>
              <w:jc w:val="center"/>
            </w:pPr>
            <w:r w:rsidRPr="005965B0">
              <w:rPr>
                <w:b/>
                <w:bCs/>
              </w:rPr>
              <w:t>X</w:t>
            </w:r>
          </w:p>
        </w:tc>
        <w:tc>
          <w:tcPr>
            <w:tcW w:w="2366" w:type="dxa"/>
          </w:tcPr>
          <w:p w14:paraId="160085C2" w14:textId="0971CAF4" w:rsidR="0071772F" w:rsidRDefault="0071772F" w:rsidP="0071772F"/>
        </w:tc>
        <w:tc>
          <w:tcPr>
            <w:tcW w:w="2429" w:type="dxa"/>
          </w:tcPr>
          <w:p w14:paraId="2D1813BB" w14:textId="77777777" w:rsidR="0071772F" w:rsidRDefault="0071772F" w:rsidP="0071772F"/>
        </w:tc>
      </w:tr>
      <w:tr w:rsidR="0071772F" w14:paraId="6E71CA62" w14:textId="77777777" w:rsidTr="00713B84">
        <w:tc>
          <w:tcPr>
            <w:tcW w:w="2642" w:type="dxa"/>
          </w:tcPr>
          <w:p w14:paraId="1028A893" w14:textId="77777777" w:rsidR="0071772F" w:rsidRDefault="0071772F" w:rsidP="0071772F"/>
        </w:tc>
        <w:tc>
          <w:tcPr>
            <w:tcW w:w="2703" w:type="dxa"/>
          </w:tcPr>
          <w:p w14:paraId="02D7D95C" w14:textId="7EA2E142" w:rsidR="0071772F" w:rsidRDefault="0071772F" w:rsidP="0071772F">
            <w:r>
              <w:t>Asian</w:t>
            </w:r>
          </w:p>
        </w:tc>
        <w:tc>
          <w:tcPr>
            <w:tcW w:w="2320" w:type="dxa"/>
          </w:tcPr>
          <w:p w14:paraId="2DBA5C9D" w14:textId="77777777" w:rsidR="0071772F" w:rsidRDefault="0071772F" w:rsidP="0071772F"/>
        </w:tc>
        <w:tc>
          <w:tcPr>
            <w:tcW w:w="2100" w:type="dxa"/>
          </w:tcPr>
          <w:p w14:paraId="02A00B73" w14:textId="641E3B22" w:rsidR="0071772F" w:rsidRDefault="0071772F" w:rsidP="0071772F">
            <w:pPr>
              <w:jc w:val="center"/>
            </w:pPr>
            <w:r w:rsidRPr="005965B0">
              <w:rPr>
                <w:b/>
                <w:bCs/>
              </w:rPr>
              <w:t>X</w:t>
            </w:r>
          </w:p>
        </w:tc>
        <w:tc>
          <w:tcPr>
            <w:tcW w:w="2366" w:type="dxa"/>
          </w:tcPr>
          <w:p w14:paraId="617FC3BC" w14:textId="3074A257" w:rsidR="0071772F" w:rsidRDefault="0071772F" w:rsidP="0071772F">
            <w:r w:rsidRPr="00261274">
              <w:rPr>
                <w:kern w:val="0"/>
                <w:sz w:val="22"/>
                <w14:ligatures w14:val="none"/>
              </w:rPr>
              <w:t>No identified negative impacts</w:t>
            </w:r>
          </w:p>
        </w:tc>
        <w:tc>
          <w:tcPr>
            <w:tcW w:w="2429" w:type="dxa"/>
          </w:tcPr>
          <w:p w14:paraId="7D84E5D3" w14:textId="77777777" w:rsidR="0071772F" w:rsidRDefault="0071772F" w:rsidP="0071772F"/>
        </w:tc>
      </w:tr>
      <w:tr w:rsidR="0071772F" w14:paraId="0B7047EF" w14:textId="77777777" w:rsidTr="00713B84">
        <w:tc>
          <w:tcPr>
            <w:tcW w:w="2642" w:type="dxa"/>
          </w:tcPr>
          <w:p w14:paraId="2777AE8C" w14:textId="77777777" w:rsidR="0071772F" w:rsidRDefault="0071772F" w:rsidP="0071772F"/>
        </w:tc>
        <w:tc>
          <w:tcPr>
            <w:tcW w:w="2703" w:type="dxa"/>
          </w:tcPr>
          <w:p w14:paraId="356FFB7D" w14:textId="354A3756" w:rsidR="0071772F" w:rsidRDefault="0071772F" w:rsidP="0071772F">
            <w:r>
              <w:t>African</w:t>
            </w:r>
          </w:p>
        </w:tc>
        <w:tc>
          <w:tcPr>
            <w:tcW w:w="2320" w:type="dxa"/>
          </w:tcPr>
          <w:p w14:paraId="240FC0F4" w14:textId="77777777" w:rsidR="0071772F" w:rsidRDefault="0071772F" w:rsidP="0071772F"/>
        </w:tc>
        <w:tc>
          <w:tcPr>
            <w:tcW w:w="2100" w:type="dxa"/>
          </w:tcPr>
          <w:p w14:paraId="578A42B4" w14:textId="76CF6888" w:rsidR="0071772F" w:rsidRDefault="0071772F" w:rsidP="0071772F">
            <w:pPr>
              <w:jc w:val="center"/>
            </w:pPr>
            <w:r w:rsidRPr="005965B0">
              <w:rPr>
                <w:b/>
                <w:bCs/>
              </w:rPr>
              <w:t>X</w:t>
            </w:r>
          </w:p>
        </w:tc>
        <w:tc>
          <w:tcPr>
            <w:tcW w:w="2366" w:type="dxa"/>
          </w:tcPr>
          <w:p w14:paraId="0B6A229E" w14:textId="0584B668" w:rsidR="0071772F" w:rsidRDefault="0071772F" w:rsidP="0071772F">
            <w:r w:rsidRPr="00261274">
              <w:rPr>
                <w:kern w:val="0"/>
                <w:sz w:val="22"/>
                <w14:ligatures w14:val="none"/>
              </w:rPr>
              <w:t>No identified negative impacts</w:t>
            </w:r>
          </w:p>
        </w:tc>
        <w:tc>
          <w:tcPr>
            <w:tcW w:w="2429" w:type="dxa"/>
          </w:tcPr>
          <w:p w14:paraId="01BEAFF0" w14:textId="77777777" w:rsidR="0071772F" w:rsidRDefault="0071772F" w:rsidP="0071772F"/>
        </w:tc>
      </w:tr>
      <w:tr w:rsidR="0071772F" w14:paraId="03CD8CBC" w14:textId="77777777" w:rsidTr="00713B84">
        <w:tc>
          <w:tcPr>
            <w:tcW w:w="2642" w:type="dxa"/>
          </w:tcPr>
          <w:p w14:paraId="25BAB087" w14:textId="77777777" w:rsidR="0071772F" w:rsidRDefault="0071772F" w:rsidP="0071772F"/>
        </w:tc>
        <w:tc>
          <w:tcPr>
            <w:tcW w:w="2703" w:type="dxa"/>
          </w:tcPr>
          <w:p w14:paraId="0612E245" w14:textId="46606654" w:rsidR="0071772F" w:rsidRDefault="0071772F" w:rsidP="0071772F">
            <w:r>
              <w:t>Caribbean or Black</w:t>
            </w:r>
          </w:p>
        </w:tc>
        <w:tc>
          <w:tcPr>
            <w:tcW w:w="2320" w:type="dxa"/>
          </w:tcPr>
          <w:p w14:paraId="1D7F1F86" w14:textId="77777777" w:rsidR="0071772F" w:rsidRDefault="0071772F" w:rsidP="0071772F"/>
        </w:tc>
        <w:tc>
          <w:tcPr>
            <w:tcW w:w="2100" w:type="dxa"/>
          </w:tcPr>
          <w:p w14:paraId="1BAE5336" w14:textId="0DEA19CD" w:rsidR="0071772F" w:rsidRDefault="0071772F" w:rsidP="0071772F">
            <w:pPr>
              <w:jc w:val="center"/>
            </w:pPr>
            <w:r w:rsidRPr="005965B0">
              <w:rPr>
                <w:b/>
                <w:bCs/>
              </w:rPr>
              <w:t>X</w:t>
            </w:r>
          </w:p>
        </w:tc>
        <w:tc>
          <w:tcPr>
            <w:tcW w:w="2366" w:type="dxa"/>
          </w:tcPr>
          <w:p w14:paraId="30E922D6" w14:textId="4F565C3E" w:rsidR="0071772F" w:rsidRDefault="0071772F" w:rsidP="0071772F">
            <w:r w:rsidRPr="00261274">
              <w:rPr>
                <w:kern w:val="0"/>
                <w:sz w:val="22"/>
                <w14:ligatures w14:val="none"/>
              </w:rPr>
              <w:t>No identified negative impacts</w:t>
            </w:r>
          </w:p>
        </w:tc>
        <w:tc>
          <w:tcPr>
            <w:tcW w:w="2429" w:type="dxa"/>
          </w:tcPr>
          <w:p w14:paraId="7AEA2655" w14:textId="77777777" w:rsidR="0071772F" w:rsidRDefault="0071772F" w:rsidP="0071772F"/>
        </w:tc>
      </w:tr>
      <w:tr w:rsidR="0071772F" w14:paraId="381A2A74" w14:textId="77777777" w:rsidTr="00713B84">
        <w:tc>
          <w:tcPr>
            <w:tcW w:w="2642" w:type="dxa"/>
          </w:tcPr>
          <w:p w14:paraId="75AF0A79" w14:textId="77777777" w:rsidR="0071772F" w:rsidRDefault="0071772F" w:rsidP="0071772F"/>
        </w:tc>
        <w:tc>
          <w:tcPr>
            <w:tcW w:w="2703" w:type="dxa"/>
          </w:tcPr>
          <w:p w14:paraId="5731B9D1" w14:textId="2B5A883D" w:rsidR="0071772F" w:rsidRDefault="0071772F" w:rsidP="0071772F">
            <w:r>
              <w:t>Other Ethnic Group</w:t>
            </w:r>
          </w:p>
        </w:tc>
        <w:tc>
          <w:tcPr>
            <w:tcW w:w="2320" w:type="dxa"/>
          </w:tcPr>
          <w:p w14:paraId="29B27C7D" w14:textId="77777777" w:rsidR="0071772F" w:rsidRDefault="0071772F" w:rsidP="0071772F"/>
        </w:tc>
        <w:tc>
          <w:tcPr>
            <w:tcW w:w="2100" w:type="dxa"/>
          </w:tcPr>
          <w:p w14:paraId="5091EE0D" w14:textId="68EC92A1" w:rsidR="0071772F" w:rsidRDefault="0071772F" w:rsidP="0071772F">
            <w:pPr>
              <w:jc w:val="center"/>
            </w:pPr>
            <w:r w:rsidRPr="005965B0">
              <w:rPr>
                <w:b/>
                <w:bCs/>
              </w:rPr>
              <w:t>X</w:t>
            </w:r>
          </w:p>
        </w:tc>
        <w:tc>
          <w:tcPr>
            <w:tcW w:w="2366" w:type="dxa"/>
          </w:tcPr>
          <w:p w14:paraId="3F5EA106" w14:textId="3F1D93A9" w:rsidR="0071772F" w:rsidRDefault="0071772F" w:rsidP="0071772F">
            <w:r w:rsidRPr="00261274">
              <w:rPr>
                <w:kern w:val="0"/>
                <w:sz w:val="22"/>
                <w14:ligatures w14:val="none"/>
              </w:rPr>
              <w:t>No identified negative impacts</w:t>
            </w:r>
          </w:p>
        </w:tc>
        <w:tc>
          <w:tcPr>
            <w:tcW w:w="2429" w:type="dxa"/>
          </w:tcPr>
          <w:p w14:paraId="2C544650" w14:textId="77777777" w:rsidR="0071772F" w:rsidRDefault="0071772F" w:rsidP="0071772F"/>
        </w:tc>
      </w:tr>
      <w:tr w:rsidR="0071772F" w14:paraId="0A38FDB3" w14:textId="77777777" w:rsidTr="00713B84">
        <w:tc>
          <w:tcPr>
            <w:tcW w:w="2642" w:type="dxa"/>
          </w:tcPr>
          <w:p w14:paraId="7E05F785" w14:textId="1EA7A894" w:rsidR="0071772F" w:rsidRDefault="0071772F" w:rsidP="0071772F">
            <w:r>
              <w:t>Disability</w:t>
            </w:r>
          </w:p>
        </w:tc>
        <w:tc>
          <w:tcPr>
            <w:tcW w:w="2703" w:type="dxa"/>
          </w:tcPr>
          <w:p w14:paraId="45F5B522" w14:textId="10261685" w:rsidR="0071772F" w:rsidRDefault="0071772F" w:rsidP="0071772F">
            <w:r>
              <w:t>Physical disability</w:t>
            </w:r>
          </w:p>
        </w:tc>
        <w:tc>
          <w:tcPr>
            <w:tcW w:w="2320" w:type="dxa"/>
          </w:tcPr>
          <w:p w14:paraId="7E32B117" w14:textId="77777777" w:rsidR="0071772F" w:rsidRDefault="0071772F" w:rsidP="0071772F"/>
        </w:tc>
        <w:tc>
          <w:tcPr>
            <w:tcW w:w="2100" w:type="dxa"/>
          </w:tcPr>
          <w:p w14:paraId="10293983" w14:textId="56C21D6D" w:rsidR="0071772F" w:rsidRDefault="0071772F" w:rsidP="0071772F">
            <w:pPr>
              <w:jc w:val="center"/>
            </w:pPr>
            <w:r w:rsidRPr="005965B0">
              <w:rPr>
                <w:b/>
                <w:bCs/>
              </w:rPr>
              <w:t>X</w:t>
            </w:r>
          </w:p>
        </w:tc>
        <w:tc>
          <w:tcPr>
            <w:tcW w:w="2366" w:type="dxa"/>
          </w:tcPr>
          <w:p w14:paraId="79C0B417" w14:textId="6CB68BC4" w:rsidR="0071772F" w:rsidRDefault="0071772F" w:rsidP="0071772F">
            <w:r w:rsidRPr="00261274">
              <w:rPr>
                <w:kern w:val="0"/>
                <w:sz w:val="22"/>
                <w14:ligatures w14:val="none"/>
              </w:rPr>
              <w:t>No identified negative impacts</w:t>
            </w:r>
          </w:p>
        </w:tc>
        <w:tc>
          <w:tcPr>
            <w:tcW w:w="2429" w:type="dxa"/>
          </w:tcPr>
          <w:p w14:paraId="70C9D68E" w14:textId="77777777" w:rsidR="0071772F" w:rsidRDefault="0071772F" w:rsidP="0071772F"/>
        </w:tc>
      </w:tr>
      <w:tr w:rsidR="0071772F" w14:paraId="2754F896" w14:textId="77777777" w:rsidTr="00713B84">
        <w:tc>
          <w:tcPr>
            <w:tcW w:w="2642" w:type="dxa"/>
          </w:tcPr>
          <w:p w14:paraId="478BEF29" w14:textId="77777777" w:rsidR="0071772F" w:rsidRDefault="0071772F" w:rsidP="0071772F"/>
        </w:tc>
        <w:tc>
          <w:tcPr>
            <w:tcW w:w="2703" w:type="dxa"/>
          </w:tcPr>
          <w:p w14:paraId="5E62D614" w14:textId="368B41FA" w:rsidR="0071772F" w:rsidRDefault="0071772F" w:rsidP="0071772F">
            <w:r>
              <w:t>Sensory Impairment (e.g. sight, heading)</w:t>
            </w:r>
          </w:p>
        </w:tc>
        <w:tc>
          <w:tcPr>
            <w:tcW w:w="2320" w:type="dxa"/>
          </w:tcPr>
          <w:p w14:paraId="10BBA379" w14:textId="5B30ECBE" w:rsidR="0071772F" w:rsidRDefault="009A059B" w:rsidP="0071772F">
            <w:r>
              <w:t>Promotional material is screened by comms to ensure this meets accessibility in this area.</w:t>
            </w:r>
          </w:p>
        </w:tc>
        <w:tc>
          <w:tcPr>
            <w:tcW w:w="2100" w:type="dxa"/>
          </w:tcPr>
          <w:p w14:paraId="5E290BF1" w14:textId="6FEFD0DC" w:rsidR="0071772F" w:rsidRDefault="0071772F" w:rsidP="0071772F">
            <w:pPr>
              <w:jc w:val="center"/>
            </w:pPr>
            <w:r w:rsidRPr="005965B0">
              <w:rPr>
                <w:b/>
                <w:bCs/>
              </w:rPr>
              <w:t>X</w:t>
            </w:r>
          </w:p>
        </w:tc>
        <w:tc>
          <w:tcPr>
            <w:tcW w:w="2366" w:type="dxa"/>
          </w:tcPr>
          <w:p w14:paraId="097B0325" w14:textId="321CC215" w:rsidR="0071772F" w:rsidRDefault="0071772F" w:rsidP="0071772F">
            <w:r w:rsidRPr="00261274">
              <w:rPr>
                <w:kern w:val="0"/>
                <w:sz w:val="22"/>
                <w14:ligatures w14:val="none"/>
              </w:rPr>
              <w:t>No identified negative impacts</w:t>
            </w:r>
          </w:p>
        </w:tc>
        <w:tc>
          <w:tcPr>
            <w:tcW w:w="2429" w:type="dxa"/>
          </w:tcPr>
          <w:p w14:paraId="4F346008" w14:textId="77777777" w:rsidR="0071772F" w:rsidRDefault="0071772F" w:rsidP="0071772F"/>
        </w:tc>
      </w:tr>
      <w:tr w:rsidR="0071772F" w14:paraId="3AFFCDB4" w14:textId="77777777" w:rsidTr="00713B84">
        <w:tc>
          <w:tcPr>
            <w:tcW w:w="2642" w:type="dxa"/>
          </w:tcPr>
          <w:p w14:paraId="38462805" w14:textId="77777777" w:rsidR="0071772F" w:rsidRDefault="0071772F" w:rsidP="0071772F"/>
        </w:tc>
        <w:tc>
          <w:tcPr>
            <w:tcW w:w="2703" w:type="dxa"/>
          </w:tcPr>
          <w:p w14:paraId="767A07E1" w14:textId="31886DDD" w:rsidR="0071772F" w:rsidRDefault="0071772F" w:rsidP="0071772F">
            <w:r>
              <w:t>Mental health</w:t>
            </w:r>
          </w:p>
        </w:tc>
        <w:tc>
          <w:tcPr>
            <w:tcW w:w="2320" w:type="dxa"/>
          </w:tcPr>
          <w:p w14:paraId="428D2831" w14:textId="358D1C01" w:rsidR="0071772F" w:rsidRDefault="002A347B" w:rsidP="0071772F">
            <w:r>
              <w:t>Signposting to support services offered.</w:t>
            </w:r>
          </w:p>
        </w:tc>
        <w:tc>
          <w:tcPr>
            <w:tcW w:w="2100" w:type="dxa"/>
          </w:tcPr>
          <w:p w14:paraId="1746C4B8" w14:textId="5E2C8833" w:rsidR="0071772F" w:rsidRDefault="0071772F" w:rsidP="0071772F">
            <w:pPr>
              <w:jc w:val="center"/>
            </w:pPr>
            <w:r w:rsidRPr="005965B0">
              <w:rPr>
                <w:b/>
                <w:bCs/>
              </w:rPr>
              <w:t>X</w:t>
            </w:r>
          </w:p>
        </w:tc>
        <w:tc>
          <w:tcPr>
            <w:tcW w:w="2366" w:type="dxa"/>
          </w:tcPr>
          <w:p w14:paraId="3C4BB78B" w14:textId="144E7E6B" w:rsidR="0071772F" w:rsidRDefault="0071772F" w:rsidP="0071772F">
            <w:r w:rsidRPr="00261274">
              <w:rPr>
                <w:kern w:val="0"/>
                <w:sz w:val="22"/>
                <w14:ligatures w14:val="none"/>
              </w:rPr>
              <w:t>No identified negative impacts</w:t>
            </w:r>
          </w:p>
        </w:tc>
        <w:tc>
          <w:tcPr>
            <w:tcW w:w="2429" w:type="dxa"/>
          </w:tcPr>
          <w:p w14:paraId="3FCD1DDF" w14:textId="77777777" w:rsidR="0071772F" w:rsidRDefault="0071772F" w:rsidP="0071772F"/>
        </w:tc>
      </w:tr>
      <w:tr w:rsidR="0071772F" w14:paraId="1B61160E" w14:textId="77777777" w:rsidTr="00713B84">
        <w:tc>
          <w:tcPr>
            <w:tcW w:w="2642" w:type="dxa"/>
          </w:tcPr>
          <w:p w14:paraId="72657B66" w14:textId="77777777" w:rsidR="0071772F" w:rsidRDefault="0071772F" w:rsidP="0071772F"/>
        </w:tc>
        <w:tc>
          <w:tcPr>
            <w:tcW w:w="2703" w:type="dxa"/>
          </w:tcPr>
          <w:p w14:paraId="3A3BEC7E" w14:textId="181F8590" w:rsidR="0071772F" w:rsidRDefault="0071772F" w:rsidP="0071772F">
            <w:r>
              <w:t>Learning disability</w:t>
            </w:r>
          </w:p>
        </w:tc>
        <w:tc>
          <w:tcPr>
            <w:tcW w:w="2320" w:type="dxa"/>
          </w:tcPr>
          <w:p w14:paraId="27EC821B" w14:textId="5922EB2D" w:rsidR="0071772F" w:rsidRDefault="00E02A3C" w:rsidP="0071772F">
            <w:r>
              <w:t>Additional support given by team for individuals to report.</w:t>
            </w:r>
          </w:p>
        </w:tc>
        <w:tc>
          <w:tcPr>
            <w:tcW w:w="2100" w:type="dxa"/>
          </w:tcPr>
          <w:p w14:paraId="18D25F00" w14:textId="6D71E52A" w:rsidR="0071772F" w:rsidRDefault="0071772F" w:rsidP="0071772F">
            <w:pPr>
              <w:jc w:val="center"/>
            </w:pPr>
            <w:r w:rsidRPr="005965B0">
              <w:rPr>
                <w:b/>
                <w:bCs/>
              </w:rPr>
              <w:t>X</w:t>
            </w:r>
          </w:p>
        </w:tc>
        <w:tc>
          <w:tcPr>
            <w:tcW w:w="2366" w:type="dxa"/>
          </w:tcPr>
          <w:p w14:paraId="3748019A" w14:textId="225479BB" w:rsidR="0071772F" w:rsidRDefault="0071772F" w:rsidP="0071772F">
            <w:r w:rsidRPr="00261274">
              <w:rPr>
                <w:kern w:val="0"/>
                <w:sz w:val="22"/>
                <w14:ligatures w14:val="none"/>
              </w:rPr>
              <w:t>No identified negative impacts</w:t>
            </w:r>
          </w:p>
        </w:tc>
        <w:tc>
          <w:tcPr>
            <w:tcW w:w="2429" w:type="dxa"/>
          </w:tcPr>
          <w:p w14:paraId="607248D6" w14:textId="77777777" w:rsidR="0071772F" w:rsidRDefault="0071772F" w:rsidP="0071772F"/>
        </w:tc>
      </w:tr>
      <w:tr w:rsidR="0071772F" w14:paraId="6BEA0620" w14:textId="77777777" w:rsidTr="00713B84">
        <w:tc>
          <w:tcPr>
            <w:tcW w:w="2642" w:type="dxa"/>
          </w:tcPr>
          <w:p w14:paraId="210F5A3B" w14:textId="05DF5078" w:rsidR="0071772F" w:rsidRDefault="0071772F" w:rsidP="0071772F">
            <w:r>
              <w:lastRenderedPageBreak/>
              <w:t>LGBT</w:t>
            </w:r>
          </w:p>
        </w:tc>
        <w:tc>
          <w:tcPr>
            <w:tcW w:w="2703" w:type="dxa"/>
          </w:tcPr>
          <w:p w14:paraId="6505520A" w14:textId="249E4FC6" w:rsidR="0071772F" w:rsidRDefault="0071772F" w:rsidP="0071772F">
            <w:r>
              <w:t>Lesbians</w:t>
            </w:r>
          </w:p>
        </w:tc>
        <w:tc>
          <w:tcPr>
            <w:tcW w:w="2320" w:type="dxa"/>
          </w:tcPr>
          <w:p w14:paraId="182923D9" w14:textId="77777777" w:rsidR="0071772F" w:rsidRDefault="0071772F" w:rsidP="0071772F"/>
        </w:tc>
        <w:tc>
          <w:tcPr>
            <w:tcW w:w="2100" w:type="dxa"/>
          </w:tcPr>
          <w:p w14:paraId="7EC2D735" w14:textId="457177E4" w:rsidR="0071772F" w:rsidRDefault="0071772F" w:rsidP="0071772F">
            <w:pPr>
              <w:jc w:val="center"/>
            </w:pPr>
            <w:r w:rsidRPr="005965B0">
              <w:rPr>
                <w:b/>
                <w:bCs/>
              </w:rPr>
              <w:t>X</w:t>
            </w:r>
          </w:p>
        </w:tc>
        <w:tc>
          <w:tcPr>
            <w:tcW w:w="2366" w:type="dxa"/>
          </w:tcPr>
          <w:p w14:paraId="7D5109FB" w14:textId="1DCED0E1" w:rsidR="0071772F" w:rsidRDefault="0071772F" w:rsidP="0071772F">
            <w:r w:rsidRPr="00261274">
              <w:rPr>
                <w:kern w:val="0"/>
                <w:sz w:val="22"/>
                <w14:ligatures w14:val="none"/>
              </w:rPr>
              <w:t>No identified negative impacts</w:t>
            </w:r>
          </w:p>
        </w:tc>
        <w:tc>
          <w:tcPr>
            <w:tcW w:w="2429" w:type="dxa"/>
          </w:tcPr>
          <w:p w14:paraId="28F8CD55" w14:textId="77777777" w:rsidR="0071772F" w:rsidRDefault="0071772F" w:rsidP="0071772F"/>
        </w:tc>
      </w:tr>
      <w:tr w:rsidR="0071772F" w14:paraId="3FB3D175" w14:textId="77777777" w:rsidTr="00713B84">
        <w:tc>
          <w:tcPr>
            <w:tcW w:w="2642" w:type="dxa"/>
          </w:tcPr>
          <w:p w14:paraId="1CF8367B" w14:textId="77777777" w:rsidR="0071772F" w:rsidRDefault="0071772F" w:rsidP="0071772F"/>
        </w:tc>
        <w:tc>
          <w:tcPr>
            <w:tcW w:w="2703" w:type="dxa"/>
          </w:tcPr>
          <w:p w14:paraId="794ED908" w14:textId="2452D9CD" w:rsidR="0071772F" w:rsidRDefault="0071772F" w:rsidP="0071772F">
            <w:r>
              <w:t>Gay Men</w:t>
            </w:r>
          </w:p>
        </w:tc>
        <w:tc>
          <w:tcPr>
            <w:tcW w:w="2320" w:type="dxa"/>
          </w:tcPr>
          <w:p w14:paraId="60E90BA1" w14:textId="77777777" w:rsidR="0071772F" w:rsidRDefault="0071772F" w:rsidP="0071772F"/>
        </w:tc>
        <w:tc>
          <w:tcPr>
            <w:tcW w:w="2100" w:type="dxa"/>
          </w:tcPr>
          <w:p w14:paraId="0C17B9AB" w14:textId="2D113494" w:rsidR="0071772F" w:rsidRDefault="0071772F" w:rsidP="0071772F">
            <w:pPr>
              <w:jc w:val="center"/>
            </w:pPr>
            <w:r w:rsidRPr="005965B0">
              <w:rPr>
                <w:b/>
                <w:bCs/>
              </w:rPr>
              <w:t>X</w:t>
            </w:r>
          </w:p>
        </w:tc>
        <w:tc>
          <w:tcPr>
            <w:tcW w:w="2366" w:type="dxa"/>
          </w:tcPr>
          <w:p w14:paraId="677005EA" w14:textId="22300854" w:rsidR="0071772F" w:rsidRDefault="0071772F" w:rsidP="0071772F">
            <w:r w:rsidRPr="00261274">
              <w:rPr>
                <w:kern w:val="0"/>
                <w:sz w:val="22"/>
                <w14:ligatures w14:val="none"/>
              </w:rPr>
              <w:t>No identified negative impacts</w:t>
            </w:r>
          </w:p>
        </w:tc>
        <w:tc>
          <w:tcPr>
            <w:tcW w:w="2429" w:type="dxa"/>
          </w:tcPr>
          <w:p w14:paraId="4F9FC776" w14:textId="77777777" w:rsidR="0071772F" w:rsidRDefault="0071772F" w:rsidP="0071772F"/>
        </w:tc>
      </w:tr>
      <w:tr w:rsidR="0071772F" w14:paraId="54273A0F" w14:textId="77777777" w:rsidTr="00713B84">
        <w:tc>
          <w:tcPr>
            <w:tcW w:w="2642" w:type="dxa"/>
          </w:tcPr>
          <w:p w14:paraId="3993430D" w14:textId="77777777" w:rsidR="0071772F" w:rsidRDefault="0071772F" w:rsidP="0071772F"/>
        </w:tc>
        <w:tc>
          <w:tcPr>
            <w:tcW w:w="2703" w:type="dxa"/>
          </w:tcPr>
          <w:p w14:paraId="6180103A" w14:textId="2E4D2B51" w:rsidR="0071772F" w:rsidRDefault="0071772F" w:rsidP="0071772F">
            <w:r>
              <w:t>Bisexual</w:t>
            </w:r>
          </w:p>
        </w:tc>
        <w:tc>
          <w:tcPr>
            <w:tcW w:w="2320" w:type="dxa"/>
          </w:tcPr>
          <w:p w14:paraId="08FB7E5B" w14:textId="77777777" w:rsidR="0071772F" w:rsidRDefault="0071772F" w:rsidP="0071772F"/>
        </w:tc>
        <w:tc>
          <w:tcPr>
            <w:tcW w:w="2100" w:type="dxa"/>
          </w:tcPr>
          <w:p w14:paraId="36C88A34" w14:textId="081AE7F0" w:rsidR="0071772F" w:rsidRDefault="0071772F" w:rsidP="0071772F">
            <w:pPr>
              <w:jc w:val="center"/>
            </w:pPr>
            <w:r w:rsidRPr="005965B0">
              <w:rPr>
                <w:b/>
                <w:bCs/>
              </w:rPr>
              <w:t>X</w:t>
            </w:r>
          </w:p>
        </w:tc>
        <w:tc>
          <w:tcPr>
            <w:tcW w:w="2366" w:type="dxa"/>
          </w:tcPr>
          <w:p w14:paraId="332B1125" w14:textId="27BC4806" w:rsidR="0071772F" w:rsidRDefault="0071772F" w:rsidP="0071772F">
            <w:r w:rsidRPr="00261274">
              <w:rPr>
                <w:kern w:val="0"/>
                <w:sz w:val="22"/>
                <w14:ligatures w14:val="none"/>
              </w:rPr>
              <w:t>No identified negative impacts</w:t>
            </w:r>
          </w:p>
        </w:tc>
        <w:tc>
          <w:tcPr>
            <w:tcW w:w="2429" w:type="dxa"/>
          </w:tcPr>
          <w:p w14:paraId="163D991A" w14:textId="77777777" w:rsidR="0071772F" w:rsidRDefault="0071772F" w:rsidP="0071772F"/>
        </w:tc>
      </w:tr>
      <w:tr w:rsidR="0071772F" w14:paraId="1E07721A" w14:textId="77777777" w:rsidTr="00713B84">
        <w:tc>
          <w:tcPr>
            <w:tcW w:w="2642" w:type="dxa"/>
          </w:tcPr>
          <w:p w14:paraId="5A725ED7" w14:textId="4F76A7C4" w:rsidR="0071772F" w:rsidRDefault="0071772F" w:rsidP="0071772F">
            <w:r>
              <w:t>Age</w:t>
            </w:r>
          </w:p>
        </w:tc>
        <w:tc>
          <w:tcPr>
            <w:tcW w:w="2703" w:type="dxa"/>
          </w:tcPr>
          <w:p w14:paraId="70AD3758" w14:textId="0A6DE403" w:rsidR="0071772F" w:rsidRDefault="0071772F" w:rsidP="0071772F">
            <w:r>
              <w:t>Older people (60+)</w:t>
            </w:r>
          </w:p>
        </w:tc>
        <w:tc>
          <w:tcPr>
            <w:tcW w:w="2320" w:type="dxa"/>
          </w:tcPr>
          <w:p w14:paraId="4031119F" w14:textId="77777777" w:rsidR="0071772F" w:rsidRDefault="0071772F" w:rsidP="0071772F"/>
        </w:tc>
        <w:tc>
          <w:tcPr>
            <w:tcW w:w="2100" w:type="dxa"/>
          </w:tcPr>
          <w:p w14:paraId="59653059" w14:textId="0B409152" w:rsidR="0071772F" w:rsidRDefault="0071772F" w:rsidP="0071772F">
            <w:pPr>
              <w:jc w:val="center"/>
            </w:pPr>
            <w:r w:rsidRPr="005965B0">
              <w:rPr>
                <w:b/>
                <w:bCs/>
              </w:rPr>
              <w:t>X</w:t>
            </w:r>
          </w:p>
        </w:tc>
        <w:tc>
          <w:tcPr>
            <w:tcW w:w="2366" w:type="dxa"/>
          </w:tcPr>
          <w:p w14:paraId="357DD4E8" w14:textId="7D23C8EC" w:rsidR="0071772F" w:rsidRDefault="0071772F" w:rsidP="0071772F">
            <w:r w:rsidRPr="00261274">
              <w:rPr>
                <w:kern w:val="0"/>
                <w:sz w:val="22"/>
                <w14:ligatures w14:val="none"/>
              </w:rPr>
              <w:t>No identified negative impacts</w:t>
            </w:r>
          </w:p>
        </w:tc>
        <w:tc>
          <w:tcPr>
            <w:tcW w:w="2429" w:type="dxa"/>
          </w:tcPr>
          <w:p w14:paraId="375DA172" w14:textId="77777777" w:rsidR="0071772F" w:rsidRDefault="0071772F" w:rsidP="0071772F"/>
        </w:tc>
      </w:tr>
      <w:tr w:rsidR="00713B84" w14:paraId="0B278962" w14:textId="77777777" w:rsidTr="00713B84">
        <w:tc>
          <w:tcPr>
            <w:tcW w:w="2642" w:type="dxa"/>
          </w:tcPr>
          <w:p w14:paraId="6F08B9EC" w14:textId="77777777" w:rsidR="00713B84" w:rsidRDefault="00713B84" w:rsidP="00713B84"/>
        </w:tc>
        <w:tc>
          <w:tcPr>
            <w:tcW w:w="2703" w:type="dxa"/>
          </w:tcPr>
          <w:p w14:paraId="3CD17D82" w14:textId="4C5CC924" w:rsidR="00713B84" w:rsidRDefault="00713B84" w:rsidP="00713B84">
            <w:r>
              <w:t>Younger people (18-25)</w:t>
            </w:r>
          </w:p>
        </w:tc>
        <w:tc>
          <w:tcPr>
            <w:tcW w:w="2320" w:type="dxa"/>
          </w:tcPr>
          <w:p w14:paraId="4BC8B7EC" w14:textId="77777777" w:rsidR="00713B84" w:rsidRDefault="00713B84" w:rsidP="00713B84"/>
        </w:tc>
        <w:tc>
          <w:tcPr>
            <w:tcW w:w="2100" w:type="dxa"/>
          </w:tcPr>
          <w:p w14:paraId="0DF9E026" w14:textId="4713B3EE" w:rsidR="00713B84" w:rsidRDefault="00713B84" w:rsidP="00713B84">
            <w:pPr>
              <w:jc w:val="center"/>
            </w:pPr>
            <w:r w:rsidRPr="005965B0">
              <w:rPr>
                <w:b/>
                <w:bCs/>
              </w:rPr>
              <w:t>X</w:t>
            </w:r>
          </w:p>
        </w:tc>
        <w:tc>
          <w:tcPr>
            <w:tcW w:w="2366" w:type="dxa"/>
          </w:tcPr>
          <w:p w14:paraId="6E44AE73" w14:textId="210E596C" w:rsidR="00713B84" w:rsidRDefault="0071772F" w:rsidP="00713B84">
            <w:r>
              <w:rPr>
                <w:kern w:val="0"/>
                <w:sz w:val="22"/>
                <w14:ligatures w14:val="none"/>
              </w:rPr>
              <w:t>No identified negative impacts</w:t>
            </w:r>
          </w:p>
        </w:tc>
        <w:tc>
          <w:tcPr>
            <w:tcW w:w="2429" w:type="dxa"/>
          </w:tcPr>
          <w:p w14:paraId="5BE56A30" w14:textId="77777777" w:rsidR="00713B84" w:rsidRDefault="00713B84" w:rsidP="00713B84"/>
        </w:tc>
      </w:tr>
      <w:tr w:rsidR="00713B84" w14:paraId="31406D21" w14:textId="77777777" w:rsidTr="00713B84">
        <w:tc>
          <w:tcPr>
            <w:tcW w:w="2642" w:type="dxa"/>
          </w:tcPr>
          <w:p w14:paraId="13A0A3BA" w14:textId="77777777" w:rsidR="00713B84" w:rsidRDefault="00713B84" w:rsidP="00713B84"/>
        </w:tc>
        <w:tc>
          <w:tcPr>
            <w:tcW w:w="2703" w:type="dxa"/>
          </w:tcPr>
          <w:p w14:paraId="14B5E014" w14:textId="687FF020" w:rsidR="00713B84" w:rsidRDefault="00713B84" w:rsidP="00713B84">
            <w:r>
              <w:t>Children (0-16)</w:t>
            </w:r>
          </w:p>
        </w:tc>
        <w:tc>
          <w:tcPr>
            <w:tcW w:w="2320" w:type="dxa"/>
          </w:tcPr>
          <w:p w14:paraId="20621A03" w14:textId="77777777" w:rsidR="00713B84" w:rsidRDefault="00713B84" w:rsidP="00713B84"/>
        </w:tc>
        <w:tc>
          <w:tcPr>
            <w:tcW w:w="2100" w:type="dxa"/>
          </w:tcPr>
          <w:p w14:paraId="2DDDC77C" w14:textId="59EA93B1" w:rsidR="00713B84" w:rsidRDefault="00713B84" w:rsidP="00713B84">
            <w:pPr>
              <w:jc w:val="center"/>
            </w:pPr>
            <w:r w:rsidRPr="005965B0">
              <w:rPr>
                <w:b/>
                <w:bCs/>
              </w:rPr>
              <w:t>X</w:t>
            </w:r>
          </w:p>
        </w:tc>
        <w:tc>
          <w:tcPr>
            <w:tcW w:w="2366" w:type="dxa"/>
          </w:tcPr>
          <w:p w14:paraId="6E8CA826" w14:textId="5CC287BA" w:rsidR="00713B84" w:rsidRDefault="00713B84" w:rsidP="00713B84"/>
        </w:tc>
        <w:tc>
          <w:tcPr>
            <w:tcW w:w="2429" w:type="dxa"/>
          </w:tcPr>
          <w:p w14:paraId="251BA973" w14:textId="77777777" w:rsidR="00713B84" w:rsidRDefault="00713B84" w:rsidP="00713B84"/>
        </w:tc>
      </w:tr>
      <w:tr w:rsidR="001F3960" w14:paraId="49C72180" w14:textId="77777777" w:rsidTr="00713B84">
        <w:tc>
          <w:tcPr>
            <w:tcW w:w="2642" w:type="dxa"/>
          </w:tcPr>
          <w:p w14:paraId="371C4C2B" w14:textId="1CC28661" w:rsidR="001F3960" w:rsidRDefault="001F3960" w:rsidP="001F3960">
            <w:r>
              <w:t>Marriage and Civil Partnership</w:t>
            </w:r>
          </w:p>
        </w:tc>
        <w:tc>
          <w:tcPr>
            <w:tcW w:w="2703" w:type="dxa"/>
          </w:tcPr>
          <w:p w14:paraId="53A2E656" w14:textId="2676D8F0" w:rsidR="001F3960" w:rsidRDefault="001F3960" w:rsidP="001F3960">
            <w:r>
              <w:t>Women</w:t>
            </w:r>
          </w:p>
        </w:tc>
        <w:tc>
          <w:tcPr>
            <w:tcW w:w="2320" w:type="dxa"/>
          </w:tcPr>
          <w:p w14:paraId="2B6B4D7B" w14:textId="77777777" w:rsidR="001F3960" w:rsidRDefault="001F3960" w:rsidP="001F3960"/>
        </w:tc>
        <w:tc>
          <w:tcPr>
            <w:tcW w:w="2100" w:type="dxa"/>
          </w:tcPr>
          <w:p w14:paraId="75CA658C" w14:textId="1730CC2A" w:rsidR="001F3960" w:rsidRDefault="001F3960" w:rsidP="001F3960">
            <w:pPr>
              <w:jc w:val="center"/>
            </w:pPr>
            <w:r w:rsidRPr="005965B0">
              <w:rPr>
                <w:b/>
                <w:bCs/>
              </w:rPr>
              <w:t>X</w:t>
            </w:r>
          </w:p>
        </w:tc>
        <w:tc>
          <w:tcPr>
            <w:tcW w:w="2366" w:type="dxa"/>
          </w:tcPr>
          <w:p w14:paraId="4E883229" w14:textId="3CE2221B" w:rsidR="001F3960" w:rsidRDefault="001F3960" w:rsidP="001F3960">
            <w:r w:rsidRPr="00AF607E">
              <w:rPr>
                <w:kern w:val="0"/>
                <w:sz w:val="22"/>
                <w14:ligatures w14:val="none"/>
              </w:rPr>
              <w:t>No identified negative impacts</w:t>
            </w:r>
          </w:p>
        </w:tc>
        <w:tc>
          <w:tcPr>
            <w:tcW w:w="2429" w:type="dxa"/>
          </w:tcPr>
          <w:p w14:paraId="59F93DDD" w14:textId="77777777" w:rsidR="001F3960" w:rsidRDefault="001F3960" w:rsidP="001F3960"/>
        </w:tc>
      </w:tr>
      <w:tr w:rsidR="001F3960" w14:paraId="645E5DEA" w14:textId="77777777" w:rsidTr="00713B84">
        <w:tc>
          <w:tcPr>
            <w:tcW w:w="2642" w:type="dxa"/>
          </w:tcPr>
          <w:p w14:paraId="314763CE" w14:textId="77777777" w:rsidR="001F3960" w:rsidRDefault="001F3960" w:rsidP="001F3960"/>
        </w:tc>
        <w:tc>
          <w:tcPr>
            <w:tcW w:w="2703" w:type="dxa"/>
          </w:tcPr>
          <w:p w14:paraId="1ACCACD5" w14:textId="1E1D4E86" w:rsidR="001F3960" w:rsidRDefault="001F3960" w:rsidP="001F3960">
            <w:r>
              <w:t>Men</w:t>
            </w:r>
          </w:p>
        </w:tc>
        <w:tc>
          <w:tcPr>
            <w:tcW w:w="2320" w:type="dxa"/>
          </w:tcPr>
          <w:p w14:paraId="390F166F" w14:textId="77777777" w:rsidR="001F3960" w:rsidRDefault="001F3960" w:rsidP="001F3960"/>
        </w:tc>
        <w:tc>
          <w:tcPr>
            <w:tcW w:w="2100" w:type="dxa"/>
          </w:tcPr>
          <w:p w14:paraId="38E6F9EF" w14:textId="46151916" w:rsidR="001F3960" w:rsidRDefault="001F3960" w:rsidP="001F3960">
            <w:pPr>
              <w:jc w:val="center"/>
            </w:pPr>
            <w:r w:rsidRPr="005965B0">
              <w:rPr>
                <w:b/>
                <w:bCs/>
              </w:rPr>
              <w:t>X</w:t>
            </w:r>
          </w:p>
        </w:tc>
        <w:tc>
          <w:tcPr>
            <w:tcW w:w="2366" w:type="dxa"/>
          </w:tcPr>
          <w:p w14:paraId="12DC7CDD" w14:textId="4A433695" w:rsidR="001F3960" w:rsidRDefault="001F3960" w:rsidP="001F3960">
            <w:r w:rsidRPr="00AF607E">
              <w:rPr>
                <w:kern w:val="0"/>
                <w:sz w:val="22"/>
                <w14:ligatures w14:val="none"/>
              </w:rPr>
              <w:t>No identified negative impacts</w:t>
            </w:r>
          </w:p>
        </w:tc>
        <w:tc>
          <w:tcPr>
            <w:tcW w:w="2429" w:type="dxa"/>
          </w:tcPr>
          <w:p w14:paraId="2FAEEA46" w14:textId="77777777" w:rsidR="001F3960" w:rsidRDefault="001F3960" w:rsidP="001F3960"/>
        </w:tc>
      </w:tr>
      <w:tr w:rsidR="00713B84" w14:paraId="327AC740" w14:textId="77777777" w:rsidTr="00713B84">
        <w:tc>
          <w:tcPr>
            <w:tcW w:w="2642" w:type="dxa"/>
          </w:tcPr>
          <w:p w14:paraId="1BEFEEA8" w14:textId="77777777" w:rsidR="00713B84" w:rsidRDefault="00713B84" w:rsidP="00713B84"/>
        </w:tc>
        <w:tc>
          <w:tcPr>
            <w:tcW w:w="2703" w:type="dxa"/>
          </w:tcPr>
          <w:p w14:paraId="5EA375D4" w14:textId="2C739B97" w:rsidR="00713B84" w:rsidRDefault="00713B84" w:rsidP="00713B84">
            <w:r>
              <w:t>Lesbians</w:t>
            </w:r>
          </w:p>
        </w:tc>
        <w:tc>
          <w:tcPr>
            <w:tcW w:w="2320" w:type="dxa"/>
          </w:tcPr>
          <w:p w14:paraId="3FEC2058" w14:textId="77777777" w:rsidR="00713B84" w:rsidRDefault="00713B84" w:rsidP="00713B84"/>
        </w:tc>
        <w:tc>
          <w:tcPr>
            <w:tcW w:w="2100" w:type="dxa"/>
          </w:tcPr>
          <w:p w14:paraId="6A2FD8D9" w14:textId="327032D1" w:rsidR="00713B84" w:rsidRDefault="00713B84" w:rsidP="00713B84">
            <w:pPr>
              <w:jc w:val="center"/>
            </w:pPr>
            <w:r w:rsidRPr="005965B0">
              <w:rPr>
                <w:b/>
                <w:bCs/>
              </w:rPr>
              <w:t>X</w:t>
            </w:r>
          </w:p>
        </w:tc>
        <w:tc>
          <w:tcPr>
            <w:tcW w:w="2366" w:type="dxa"/>
          </w:tcPr>
          <w:p w14:paraId="60A1955A" w14:textId="6D7A5164" w:rsidR="00713B84" w:rsidRDefault="001F3960" w:rsidP="00713B84">
            <w:r>
              <w:rPr>
                <w:kern w:val="0"/>
                <w:sz w:val="22"/>
                <w14:ligatures w14:val="none"/>
              </w:rPr>
              <w:t>No identified negative impacts</w:t>
            </w:r>
          </w:p>
        </w:tc>
        <w:tc>
          <w:tcPr>
            <w:tcW w:w="2429" w:type="dxa"/>
          </w:tcPr>
          <w:p w14:paraId="31EB7F2E" w14:textId="77777777" w:rsidR="00713B84" w:rsidRDefault="00713B84" w:rsidP="00713B84"/>
        </w:tc>
      </w:tr>
      <w:tr w:rsidR="001F3960" w14:paraId="031C103F" w14:textId="77777777" w:rsidTr="00713B84">
        <w:tc>
          <w:tcPr>
            <w:tcW w:w="2642" w:type="dxa"/>
          </w:tcPr>
          <w:p w14:paraId="39780D56" w14:textId="40CB56DB" w:rsidR="001F3960" w:rsidRDefault="001F3960" w:rsidP="001F3960">
            <w:r>
              <w:t>Pregnancy and Maternity</w:t>
            </w:r>
          </w:p>
        </w:tc>
        <w:tc>
          <w:tcPr>
            <w:tcW w:w="2703" w:type="dxa"/>
          </w:tcPr>
          <w:p w14:paraId="4DA47076" w14:textId="7F3349EE" w:rsidR="001F3960" w:rsidRDefault="001F3960" w:rsidP="001F3960">
            <w:r>
              <w:t>Women</w:t>
            </w:r>
          </w:p>
        </w:tc>
        <w:tc>
          <w:tcPr>
            <w:tcW w:w="2320" w:type="dxa"/>
          </w:tcPr>
          <w:p w14:paraId="387B3F00" w14:textId="77777777" w:rsidR="001F3960" w:rsidRDefault="001F3960" w:rsidP="001F3960"/>
        </w:tc>
        <w:tc>
          <w:tcPr>
            <w:tcW w:w="2100" w:type="dxa"/>
          </w:tcPr>
          <w:p w14:paraId="7021C4F5" w14:textId="155A3CE4" w:rsidR="001F3960" w:rsidRDefault="001F3960" w:rsidP="001F3960">
            <w:pPr>
              <w:jc w:val="center"/>
            </w:pPr>
            <w:r w:rsidRPr="005965B0">
              <w:rPr>
                <w:b/>
                <w:bCs/>
              </w:rPr>
              <w:t>X</w:t>
            </w:r>
          </w:p>
        </w:tc>
        <w:tc>
          <w:tcPr>
            <w:tcW w:w="2366" w:type="dxa"/>
          </w:tcPr>
          <w:p w14:paraId="6B2CBE8F" w14:textId="3C98F46A" w:rsidR="001F3960" w:rsidRDefault="001F3960" w:rsidP="001F3960">
            <w:r w:rsidRPr="00C51F27">
              <w:rPr>
                <w:kern w:val="0"/>
                <w:sz w:val="22"/>
                <w14:ligatures w14:val="none"/>
              </w:rPr>
              <w:t>No identified negative impacts</w:t>
            </w:r>
          </w:p>
        </w:tc>
        <w:tc>
          <w:tcPr>
            <w:tcW w:w="2429" w:type="dxa"/>
          </w:tcPr>
          <w:p w14:paraId="2E9772CE" w14:textId="77777777" w:rsidR="001F3960" w:rsidRDefault="001F3960" w:rsidP="001F3960"/>
        </w:tc>
      </w:tr>
      <w:tr w:rsidR="001F3960" w14:paraId="6DDC4ED1" w14:textId="77777777" w:rsidTr="00713B84">
        <w:tc>
          <w:tcPr>
            <w:tcW w:w="2642" w:type="dxa"/>
          </w:tcPr>
          <w:p w14:paraId="684760E8" w14:textId="0B27846D" w:rsidR="001F3960" w:rsidRDefault="001F3960" w:rsidP="001F3960">
            <w:r>
              <w:t>Religion and belief</w:t>
            </w:r>
          </w:p>
        </w:tc>
        <w:tc>
          <w:tcPr>
            <w:tcW w:w="2703" w:type="dxa"/>
          </w:tcPr>
          <w:p w14:paraId="155D9C8B" w14:textId="2F4201C9" w:rsidR="001F3960" w:rsidRDefault="001F3960" w:rsidP="001F3960">
            <w:r>
              <w:t>See below</w:t>
            </w:r>
          </w:p>
        </w:tc>
        <w:tc>
          <w:tcPr>
            <w:tcW w:w="2320" w:type="dxa"/>
          </w:tcPr>
          <w:p w14:paraId="434B486D" w14:textId="77777777" w:rsidR="001F3960" w:rsidRDefault="001F3960" w:rsidP="001F3960"/>
        </w:tc>
        <w:tc>
          <w:tcPr>
            <w:tcW w:w="2100" w:type="dxa"/>
          </w:tcPr>
          <w:p w14:paraId="64107008" w14:textId="41DEBCD0" w:rsidR="001F3960" w:rsidRDefault="001F3960" w:rsidP="001F3960">
            <w:pPr>
              <w:jc w:val="center"/>
            </w:pPr>
            <w:r w:rsidRPr="005965B0">
              <w:rPr>
                <w:b/>
                <w:bCs/>
              </w:rPr>
              <w:t>X</w:t>
            </w:r>
          </w:p>
        </w:tc>
        <w:tc>
          <w:tcPr>
            <w:tcW w:w="2366" w:type="dxa"/>
          </w:tcPr>
          <w:p w14:paraId="3A2665D3" w14:textId="52E5516F" w:rsidR="001F3960" w:rsidRDefault="001F3960" w:rsidP="001F3960">
            <w:r w:rsidRPr="00C51F27">
              <w:rPr>
                <w:kern w:val="0"/>
                <w:sz w:val="22"/>
                <w14:ligatures w14:val="none"/>
              </w:rPr>
              <w:t>No identified negative impacts</w:t>
            </w:r>
          </w:p>
        </w:tc>
        <w:tc>
          <w:tcPr>
            <w:tcW w:w="2429" w:type="dxa"/>
          </w:tcPr>
          <w:p w14:paraId="6E1D1C87" w14:textId="77777777" w:rsidR="001F3960" w:rsidRDefault="001F3960" w:rsidP="001F3960"/>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568B012D" w14:textId="7336A37E" w:rsidR="00E24CD1" w:rsidRDefault="00E24CD1" w:rsidP="00E24CD1">
            <w:r>
              <w:t xml:space="preserve">Data is not collated. </w:t>
            </w:r>
          </w:p>
          <w:p w14:paraId="2F97E5CC" w14:textId="49B37558" w:rsidR="00236930" w:rsidRDefault="005E05FE" w:rsidP="00236930">
            <w:r>
              <w:t xml:space="preserve"> </w:t>
            </w: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429B6248" w:rsidR="00236930" w:rsidRDefault="0053334A" w:rsidP="00236930">
            <w:r>
              <w:t>S</w:t>
            </w:r>
            <w:r w:rsidR="007558B0">
              <w:t>ocio-</w:t>
            </w:r>
            <w:r>
              <w:t>e</w:t>
            </w:r>
            <w:r w:rsidR="007558B0">
              <w:t xml:space="preserve">conomic </w:t>
            </w:r>
            <w:r>
              <w:t>impact is</w:t>
            </w:r>
            <w:r w:rsidR="003614F2">
              <w:t xml:space="preserve"> reduced due to the accessibility in reporting ASB to F</w:t>
            </w:r>
            <w:r w:rsidR="00296832">
              <w:t>D</w:t>
            </w:r>
            <w:r w:rsidR="003614F2">
              <w:t>C. Residents</w:t>
            </w:r>
            <w:r w:rsidR="00037586">
              <w:t xml:space="preserve"> can report ASB, in person, by phone, online</w:t>
            </w:r>
            <w:r w:rsidR="006C6376">
              <w:t>, by post or to another service or agency</w:t>
            </w:r>
            <w:r w:rsidR="00BB0F59">
              <w:t>, such as police, RSL, education or social care. These partners</w:t>
            </w:r>
            <w:r w:rsidR="00296832">
              <w:t xml:space="preserve"> then share ASB concerns on behalf of their customer.</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6814EEE8" w:rsidR="00236930" w:rsidRDefault="00236930" w:rsidP="00236930"/>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1CDFAEAB" w:rsidR="002A1955" w:rsidRDefault="009B2AAB" w:rsidP="00EE0E55">
            <w:r>
              <w:t>Data not collated.</w:t>
            </w:r>
          </w:p>
        </w:tc>
      </w:tr>
      <w:bookmarkEnd w:id="4"/>
    </w:tbl>
    <w:p w14:paraId="0CAA488B" w14:textId="77777777" w:rsidR="00F85A90" w:rsidRDefault="00F85A90" w:rsidP="00236930"/>
    <w:p w14:paraId="504200C4" w14:textId="181CC3C9" w:rsidR="00F85A90" w:rsidRDefault="00F85A90"/>
    <w:p w14:paraId="0C2E55FB" w14:textId="77777777" w:rsidR="00F85A90" w:rsidRDefault="00F85A90" w:rsidP="00F85A90">
      <w:pPr>
        <w:pStyle w:val="Heading2"/>
      </w:pPr>
      <w:bookmarkStart w:id="5" w:name="_Toc167112759"/>
      <w:r>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14D90D" w14:textId="06EC0DBA" w:rsidR="00BD00EF" w:rsidRDefault="005E05FE" w:rsidP="00BD00EF">
            <w:pPr>
              <w:rPr>
                <w:sz w:val="20"/>
                <w:szCs w:val="20"/>
              </w:rPr>
            </w:pPr>
            <w:r>
              <w:t>N/A</w:t>
            </w:r>
            <w:r w:rsidR="00BD00EF">
              <w:t xml:space="preserve">  </w:t>
            </w:r>
          </w:p>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lastRenderedPageBreak/>
              <w:t>Arrangements for Monitoring</w:t>
            </w:r>
          </w:p>
          <w:p w14:paraId="1ABD2FB3" w14:textId="77777777" w:rsidR="00AE6E4F" w:rsidRDefault="00AE6E4F" w:rsidP="00E26E15"/>
        </w:tc>
        <w:tc>
          <w:tcPr>
            <w:tcW w:w="10490" w:type="dxa"/>
          </w:tcPr>
          <w:p w14:paraId="193C689D" w14:textId="2CF583BF" w:rsidR="005E05FE" w:rsidRDefault="005E05FE" w:rsidP="005E05FE">
            <w:pPr>
              <w:rPr>
                <w:sz w:val="20"/>
                <w:szCs w:val="20"/>
              </w:rPr>
            </w:pPr>
            <w:r>
              <w:rPr>
                <w:sz w:val="20"/>
                <w:szCs w:val="20"/>
              </w:rPr>
              <w:t>The ASB Policy is reviewed annually to ensure compliance in relation to possible changes to legislation, regulations, and management capacity. This is audited by internal systems.</w:t>
            </w:r>
          </w:p>
          <w:p w14:paraId="66DBB4A0" w14:textId="77777777" w:rsidR="00AE6E4F" w:rsidRDefault="00AE6E4F" w:rsidP="005E05FE"/>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2799CC67" w:rsidR="00AE6E4F" w:rsidRDefault="005F78CB" w:rsidP="00AE6E4F">
            <w:pPr>
              <w:rPr>
                <w:rFonts w:eastAsia="Times New Roman" w:cs="Times New Roman"/>
                <w:kern w:val="0"/>
                <w:sz w:val="22"/>
                <w:lang w:val="en-US"/>
                <w14:ligatures w14:val="none"/>
              </w:rPr>
            </w:pPr>
            <w:r>
              <w:rPr>
                <w:rFonts w:eastAsia="Times New Roman" w:cs="Times New Roman"/>
                <w:kern w:val="0"/>
                <w:sz w:val="22"/>
                <w:lang w:val="en-US"/>
                <w14:ligatures w14:val="none"/>
              </w:rPr>
              <w:t>Annual</w:t>
            </w: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1EE5C424" w14:textId="735643D4" w:rsidR="00AE6E4F" w:rsidRPr="00AE6E4F" w:rsidRDefault="00377B27" w:rsidP="00AE6E4F">
            <w:pPr>
              <w:rPr>
                <w:rFonts w:eastAsia="Times New Roman" w:cs="Times New Roman"/>
                <w:kern w:val="0"/>
                <w:sz w:val="22"/>
                <w:lang w:val="en-US"/>
                <w14:ligatures w14:val="none"/>
              </w:rPr>
            </w:pPr>
            <w:r>
              <w:rPr>
                <w:rFonts w:eastAsia="Times New Roman" w:cs="Times New Roman"/>
                <w:kern w:val="0"/>
                <w:sz w:val="22"/>
                <w:lang w:val="en-US"/>
                <w14:ligatures w14:val="none"/>
              </w:rPr>
              <w:t>15</w:t>
            </w:r>
            <w:r w:rsidR="005F78CB">
              <w:rPr>
                <w:rFonts w:eastAsia="Times New Roman" w:cs="Times New Roman"/>
                <w:kern w:val="0"/>
                <w:sz w:val="22"/>
                <w:lang w:val="en-US"/>
                <w14:ligatures w14:val="none"/>
              </w:rPr>
              <w:t>/12/2025</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5687C738" w14:textId="45ED72C0" w:rsidR="00383B0B" w:rsidRPr="005E05FE" w:rsidRDefault="00383B0B" w:rsidP="00F85A90">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04E2D087" w14:textId="3061363F"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3798C3B1" w14:textId="560277F6" w:rsidR="00383B0B" w:rsidRPr="005E05FE" w:rsidRDefault="00FB2E07" w:rsidP="00F85A90">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p>
          <w:p w14:paraId="3D03CC31" w14:textId="77777777" w:rsidR="00383B0B" w:rsidRDefault="00383B0B" w:rsidP="00F85A90"/>
          <w:p w14:paraId="4B026DC0" w14:textId="77777777" w:rsidR="008857FD" w:rsidRDefault="008857FD" w:rsidP="008857FD">
            <w:pPr>
              <w:rPr>
                <w:sz w:val="20"/>
                <w:szCs w:val="20"/>
              </w:rPr>
            </w:pPr>
            <w:r>
              <w:rPr>
                <w:sz w:val="20"/>
                <w:szCs w:val="20"/>
              </w:rPr>
              <w:t>Community Safety  Partnership consultation and feedback</w:t>
            </w:r>
          </w:p>
          <w:p w14:paraId="37392A5A" w14:textId="77777777" w:rsidR="008857FD" w:rsidRDefault="008857FD" w:rsidP="008857FD">
            <w:pPr>
              <w:rPr>
                <w:sz w:val="20"/>
                <w:szCs w:val="20"/>
              </w:rPr>
            </w:pPr>
            <w:r>
              <w:rPr>
                <w:sz w:val="20"/>
                <w:szCs w:val="20"/>
              </w:rPr>
              <w:t xml:space="preserve">FSCP  </w:t>
            </w:r>
          </w:p>
          <w:p w14:paraId="271AA31A" w14:textId="77777777" w:rsidR="008857FD" w:rsidRDefault="008857FD" w:rsidP="008857FD">
            <w:pPr>
              <w:rPr>
                <w:sz w:val="20"/>
                <w:szCs w:val="20"/>
              </w:rPr>
            </w:pPr>
            <w:r>
              <w:rPr>
                <w:sz w:val="20"/>
                <w:szCs w:val="20"/>
              </w:rPr>
              <w:t>Action  Sex Discrimination Act 1975</w:t>
            </w:r>
          </w:p>
          <w:p w14:paraId="43EFDF35" w14:textId="77777777" w:rsidR="008857FD" w:rsidRDefault="008857FD" w:rsidP="008857FD">
            <w:pPr>
              <w:rPr>
                <w:sz w:val="20"/>
                <w:szCs w:val="20"/>
              </w:rPr>
            </w:pPr>
            <w:r>
              <w:rPr>
                <w:sz w:val="20"/>
                <w:szCs w:val="20"/>
              </w:rPr>
              <w:t>Equalities act 2010</w:t>
            </w:r>
          </w:p>
          <w:p w14:paraId="6452C806" w14:textId="77777777" w:rsidR="008857FD" w:rsidRDefault="008857FD" w:rsidP="008857FD">
            <w:pPr>
              <w:rPr>
                <w:sz w:val="20"/>
                <w:szCs w:val="20"/>
              </w:rPr>
            </w:pPr>
            <w:r>
              <w:rPr>
                <w:sz w:val="20"/>
                <w:szCs w:val="20"/>
              </w:rPr>
              <w:t>Race Relations Act 1976</w:t>
            </w:r>
          </w:p>
          <w:p w14:paraId="56D06ADD" w14:textId="77777777" w:rsidR="008857FD" w:rsidRDefault="008857FD" w:rsidP="008857FD">
            <w:pPr>
              <w:rPr>
                <w:sz w:val="20"/>
                <w:szCs w:val="20"/>
              </w:rPr>
            </w:pPr>
            <w:r>
              <w:rPr>
                <w:sz w:val="20"/>
                <w:szCs w:val="20"/>
              </w:rPr>
              <w:t xml:space="preserve">Disability Discrimination Act 1995 Plan </w:t>
            </w:r>
          </w:p>
          <w:p w14:paraId="56BAC7E4" w14:textId="62E408A2" w:rsidR="00383B0B" w:rsidRDefault="00E4539B" w:rsidP="00F85A90">
            <w:r w:rsidRPr="005F78CB">
              <w:rPr>
                <w:rFonts w:eastAsia="Times New Roman" w:cs="Times New Roman"/>
                <w:bCs/>
                <w:kern w:val="0"/>
                <w:sz w:val="22"/>
                <w:lang w:val="en-US"/>
                <w14:ligatures w14:val="none"/>
              </w:rPr>
              <w:t>Human Rights Act 1998</w:t>
            </w:r>
          </w:p>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lastRenderedPageBreak/>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C2F0" w14:textId="77777777" w:rsidR="009E6D60" w:rsidRDefault="009E6D60" w:rsidP="00DE0479">
      <w:r>
        <w:separator/>
      </w:r>
    </w:p>
  </w:endnote>
  <w:endnote w:type="continuationSeparator" w:id="0">
    <w:p w14:paraId="136995A5" w14:textId="77777777" w:rsidR="009E6D60" w:rsidRDefault="009E6D60" w:rsidP="00DE0479">
      <w:r>
        <w:continuationSeparator/>
      </w:r>
    </w:p>
  </w:endnote>
  <w:endnote w:type="continuationNotice" w:id="1">
    <w:p w14:paraId="659324F5" w14:textId="77777777" w:rsidR="009E6D60" w:rsidRDefault="009E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EF71" w14:textId="77777777" w:rsidR="009E6D60" w:rsidRDefault="009E6D60" w:rsidP="00DE0479">
      <w:r>
        <w:separator/>
      </w:r>
    </w:p>
  </w:footnote>
  <w:footnote w:type="continuationSeparator" w:id="0">
    <w:p w14:paraId="205DD65E" w14:textId="77777777" w:rsidR="009E6D60" w:rsidRDefault="009E6D60" w:rsidP="00DE0479">
      <w:r>
        <w:continuationSeparator/>
      </w:r>
    </w:p>
  </w:footnote>
  <w:footnote w:type="continuationNotice" w:id="1">
    <w:p w14:paraId="48721605" w14:textId="77777777" w:rsidR="009E6D60" w:rsidRDefault="009E6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985"/>
    <w:multiLevelType w:val="multilevel"/>
    <w:tmpl w:val="59F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2"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8"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9"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4"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5"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6"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3"/>
  </w:num>
  <w:num w:numId="4" w16cid:durableId="1668091473">
    <w:abstractNumId w:val="22"/>
  </w:num>
  <w:num w:numId="5" w16cid:durableId="905144847">
    <w:abstractNumId w:val="5"/>
  </w:num>
  <w:num w:numId="6" w16cid:durableId="74210457">
    <w:abstractNumId w:val="4"/>
  </w:num>
  <w:num w:numId="7" w16cid:durableId="499851705">
    <w:abstractNumId w:val="0"/>
  </w:num>
  <w:num w:numId="8" w16cid:durableId="1487211395">
    <w:abstractNumId w:val="21"/>
  </w:num>
  <w:num w:numId="9" w16cid:durableId="376784684">
    <w:abstractNumId w:val="8"/>
  </w:num>
  <w:num w:numId="10" w16cid:durableId="1302346234">
    <w:abstractNumId w:val="25"/>
  </w:num>
  <w:num w:numId="11" w16cid:durableId="59597926">
    <w:abstractNumId w:val="20"/>
  </w:num>
  <w:num w:numId="12" w16cid:durableId="810829194">
    <w:abstractNumId w:val="3"/>
  </w:num>
  <w:num w:numId="13" w16cid:durableId="1653831862">
    <w:abstractNumId w:val="6"/>
  </w:num>
  <w:num w:numId="14" w16cid:durableId="268856396">
    <w:abstractNumId w:val="19"/>
  </w:num>
  <w:num w:numId="15" w16cid:durableId="769853231">
    <w:abstractNumId w:val="18"/>
  </w:num>
  <w:num w:numId="16" w16cid:durableId="1567494817">
    <w:abstractNumId w:val="23"/>
  </w:num>
  <w:num w:numId="17" w16cid:durableId="314722523">
    <w:abstractNumId w:val="9"/>
  </w:num>
  <w:num w:numId="18" w16cid:durableId="312682986">
    <w:abstractNumId w:val="17"/>
  </w:num>
  <w:num w:numId="19" w16cid:durableId="1152989405">
    <w:abstractNumId w:val="26"/>
  </w:num>
  <w:num w:numId="20" w16cid:durableId="1327397278">
    <w:abstractNumId w:val="11"/>
  </w:num>
  <w:num w:numId="21" w16cid:durableId="865606008">
    <w:abstractNumId w:val="24"/>
  </w:num>
  <w:num w:numId="22" w16cid:durableId="472069081">
    <w:abstractNumId w:val="12"/>
  </w:num>
  <w:num w:numId="23" w16cid:durableId="525099300">
    <w:abstractNumId w:val="14"/>
  </w:num>
  <w:num w:numId="24" w16cid:durableId="1589536094">
    <w:abstractNumId w:val="15"/>
  </w:num>
  <w:num w:numId="25" w16cid:durableId="1395738368">
    <w:abstractNumId w:val="16"/>
  </w:num>
  <w:num w:numId="26" w16cid:durableId="1459488588">
    <w:abstractNumId w:val="2"/>
  </w:num>
  <w:num w:numId="27" w16cid:durableId="211968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062F2"/>
    <w:rsid w:val="00037586"/>
    <w:rsid w:val="00092104"/>
    <w:rsid w:val="000B7305"/>
    <w:rsid w:val="000F7582"/>
    <w:rsid w:val="00124F4D"/>
    <w:rsid w:val="00126205"/>
    <w:rsid w:val="00146F9B"/>
    <w:rsid w:val="00176615"/>
    <w:rsid w:val="001E0ADF"/>
    <w:rsid w:val="001F3960"/>
    <w:rsid w:val="00212C20"/>
    <w:rsid w:val="00233A25"/>
    <w:rsid w:val="00236930"/>
    <w:rsid w:val="00277C63"/>
    <w:rsid w:val="00277E2E"/>
    <w:rsid w:val="00296832"/>
    <w:rsid w:val="002A1955"/>
    <w:rsid w:val="002A347B"/>
    <w:rsid w:val="002F602A"/>
    <w:rsid w:val="003169C4"/>
    <w:rsid w:val="00333BC6"/>
    <w:rsid w:val="003614F2"/>
    <w:rsid w:val="00377B27"/>
    <w:rsid w:val="00383B0B"/>
    <w:rsid w:val="003D5A86"/>
    <w:rsid w:val="00460C25"/>
    <w:rsid w:val="00483F7B"/>
    <w:rsid w:val="00484FE3"/>
    <w:rsid w:val="004D02B7"/>
    <w:rsid w:val="004E12F7"/>
    <w:rsid w:val="004E6CFD"/>
    <w:rsid w:val="0050221C"/>
    <w:rsid w:val="00523EEF"/>
    <w:rsid w:val="00524ED8"/>
    <w:rsid w:val="005316D0"/>
    <w:rsid w:val="0053334A"/>
    <w:rsid w:val="005334F9"/>
    <w:rsid w:val="00545739"/>
    <w:rsid w:val="00554750"/>
    <w:rsid w:val="00580F40"/>
    <w:rsid w:val="005A0185"/>
    <w:rsid w:val="005A5A2A"/>
    <w:rsid w:val="005B726B"/>
    <w:rsid w:val="005C735B"/>
    <w:rsid w:val="005C7954"/>
    <w:rsid w:val="005E05FE"/>
    <w:rsid w:val="005F78CB"/>
    <w:rsid w:val="00650DCE"/>
    <w:rsid w:val="0067678F"/>
    <w:rsid w:val="00686A83"/>
    <w:rsid w:val="00695B8E"/>
    <w:rsid w:val="006A7EC7"/>
    <w:rsid w:val="006C6376"/>
    <w:rsid w:val="006D378A"/>
    <w:rsid w:val="00713B84"/>
    <w:rsid w:val="0071772F"/>
    <w:rsid w:val="00737374"/>
    <w:rsid w:val="007558B0"/>
    <w:rsid w:val="0079183A"/>
    <w:rsid w:val="007A5F2D"/>
    <w:rsid w:val="007F04E3"/>
    <w:rsid w:val="008313C5"/>
    <w:rsid w:val="008857FD"/>
    <w:rsid w:val="00933FF8"/>
    <w:rsid w:val="00936C71"/>
    <w:rsid w:val="009A059B"/>
    <w:rsid w:val="009A23B4"/>
    <w:rsid w:val="009B2AAB"/>
    <w:rsid w:val="009D2978"/>
    <w:rsid w:val="009E55B4"/>
    <w:rsid w:val="009E6D60"/>
    <w:rsid w:val="00A4363E"/>
    <w:rsid w:val="00A86BA6"/>
    <w:rsid w:val="00A96796"/>
    <w:rsid w:val="00AE6E4F"/>
    <w:rsid w:val="00AE7AD5"/>
    <w:rsid w:val="00B62A71"/>
    <w:rsid w:val="00B82EF2"/>
    <w:rsid w:val="00B90269"/>
    <w:rsid w:val="00BB0F59"/>
    <w:rsid w:val="00BD00EF"/>
    <w:rsid w:val="00C01148"/>
    <w:rsid w:val="00C24CD5"/>
    <w:rsid w:val="00C53900"/>
    <w:rsid w:val="00CD0CD8"/>
    <w:rsid w:val="00D02CC0"/>
    <w:rsid w:val="00D4718E"/>
    <w:rsid w:val="00D6047D"/>
    <w:rsid w:val="00DE0479"/>
    <w:rsid w:val="00E02321"/>
    <w:rsid w:val="00E02A3C"/>
    <w:rsid w:val="00E24CD1"/>
    <w:rsid w:val="00E4539B"/>
    <w:rsid w:val="00E9542C"/>
    <w:rsid w:val="00EB7042"/>
    <w:rsid w:val="00EE0E55"/>
    <w:rsid w:val="00F05291"/>
    <w:rsid w:val="00F845F2"/>
    <w:rsid w:val="00F85A90"/>
    <w:rsid w:val="00F86DBC"/>
    <w:rsid w:val="00FB2E07"/>
    <w:rsid w:val="00FB7C73"/>
    <w:rsid w:val="00FC2F5A"/>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 w:id="21430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url?sa=t&amp;rct=j&amp;q=&amp;esrc=s&amp;source=web&amp;cd=1&amp;cad=rja&amp;uact=8&amp;ved=0CCEQFjAA&amp;url=http%3A%2F%2Fwww.legislation.gov.uk%2Fukpga%2F2014%2F12%2Fcontents%2Fenacted&amp;ei=gGaeVbC5E8H1-QHx24H4BA&amp;usg=AFQjCNHbOtreLTzdCcGD6Anj3lOsKYQReg&amp;bvm=bv.96952980,d.ZG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5b827a16dab935b13637f743cc174e0b">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c833953afc9218ebbde7abaf26448288"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15e130-f306-4900-841c-4c42feb424c7}"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56D864F1-B185-45E9-B06E-49DB2500F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4.xml><?xml version="1.0" encoding="utf-8"?>
<ds:datastoreItem xmlns:ds="http://schemas.openxmlformats.org/officeDocument/2006/customXml" ds:itemID="{7C1A0880-035F-493D-9C1A-EFF531D4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1691</Words>
  <Characters>9639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2025-02-17T12:33:00Z</dcterms:created>
  <dcterms:modified xsi:type="dcterms:W3CDTF">2025-02-17T12:33:00Z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