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7DA966B5" w14:textId="2B83578C" w:rsidR="001E0ADF" w:rsidRDefault="0030368E" w:rsidP="0030368E">
            <w:pPr>
              <w:pStyle w:val="BodyText"/>
              <w:spacing w:before="0"/>
              <w:ind w:left="0"/>
              <w:jc w:val="center"/>
            </w:pPr>
            <w:r>
              <w:t>Equality Policy/ Equality Impact Assessment process</w:t>
            </w:r>
          </w:p>
          <w:p w14:paraId="50F4E6D0" w14:textId="26766CE4" w:rsidR="000F363D" w:rsidRDefault="000F363D" w:rsidP="009D2978">
            <w:pPr>
              <w:pStyle w:val="BodyText"/>
              <w:spacing w:before="0"/>
              <w:ind w:left="0"/>
            </w:pP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4E534FF9" w:rsidR="001E0ADF" w:rsidRDefault="0030368E" w:rsidP="009D2978">
            <w:pPr>
              <w:pStyle w:val="BodyText"/>
              <w:spacing w:before="0"/>
              <w:ind w:left="0"/>
            </w:pPr>
            <w:r>
              <w:t xml:space="preserve">Refreshed Policy </w:t>
            </w:r>
          </w:p>
        </w:tc>
      </w:tr>
      <w:tr w:rsidR="001E0ADF" w14:paraId="71EB3B29" w14:textId="77777777" w:rsidTr="00484FE3">
        <w:tc>
          <w:tcPr>
            <w:tcW w:w="3641"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t>List main outcome focus and supporting activities of the Policy, Project, Service Reform or Budget Option</w:t>
            </w:r>
          </w:p>
        </w:tc>
        <w:tc>
          <w:tcPr>
            <w:tcW w:w="10915" w:type="dxa"/>
          </w:tcPr>
          <w:p w14:paraId="68C3267E" w14:textId="77777777" w:rsidR="001E0ADF" w:rsidRDefault="0030368E" w:rsidP="009D2978">
            <w:pPr>
              <w:pStyle w:val="BodyText"/>
              <w:spacing w:before="0"/>
              <w:ind w:left="0"/>
            </w:pPr>
            <w:r>
              <w:t xml:space="preserve">It is important to consider any potential risks to those who will be affected by the policy’s aims or by its implementation by the Council. The Equality Impact Assessment process enables us to assess potential implications of our decisions on the whole community, to eliminate discrimination, tackle inequality, help to develop a better understanding of the community, target resources efficiently, and </w:t>
            </w:r>
            <w:r>
              <w:lastRenderedPageBreak/>
              <w:t>adhere to the transparency and accountability requirements of our Public Sector Equality Duty.</w:t>
            </w:r>
          </w:p>
          <w:p w14:paraId="5C7A1DC3" w14:textId="77777777" w:rsidR="0030368E" w:rsidRDefault="0030368E" w:rsidP="009D2978">
            <w:pPr>
              <w:pStyle w:val="BodyText"/>
              <w:spacing w:before="0"/>
              <w:ind w:left="0"/>
            </w:pPr>
          </w:p>
          <w:p w14:paraId="32C60644" w14:textId="59BCE095" w:rsidR="0030368E" w:rsidRDefault="0030368E" w:rsidP="009D2978">
            <w:pPr>
              <w:pStyle w:val="BodyText"/>
              <w:spacing w:before="0"/>
              <w:ind w:left="0"/>
            </w:pPr>
            <w:r>
              <w:t xml:space="preserve">To clarify the word “policy”, in this context, includes the different things that the Council does. It includes any policy, procedure or practice </w:t>
            </w:r>
            <w:r w:rsidR="00F26687">
              <w:t>–</w:t>
            </w:r>
            <w:r>
              <w:t xml:space="preserve"> </w:t>
            </w:r>
            <w:r w:rsidR="00F26687">
              <w:t>both in employment and service delivery.  It also includes proposals in HR practice and changes to service provision.</w:t>
            </w: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915" w:type="dxa"/>
          </w:tcPr>
          <w:p w14:paraId="38D437ED" w14:textId="77777777" w:rsidR="00F26687" w:rsidRDefault="00F26687" w:rsidP="0030368E">
            <w:pPr>
              <w:pStyle w:val="BodyText"/>
              <w:spacing w:before="0"/>
              <w:ind w:left="0"/>
              <w:jc w:val="center"/>
            </w:pPr>
          </w:p>
          <w:p w14:paraId="6A980B42" w14:textId="3E009EAD" w:rsidR="001E0ADF" w:rsidRDefault="0030368E" w:rsidP="0030368E">
            <w:pPr>
              <w:pStyle w:val="BodyText"/>
              <w:spacing w:before="0"/>
              <w:ind w:left="0"/>
              <w:jc w:val="center"/>
            </w:pPr>
            <w:r>
              <w:t>David Bailey</w:t>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7D7116E7" w:rsidR="001E0ADF" w:rsidRDefault="00F26687" w:rsidP="009D2978">
            <w:pPr>
              <w:pStyle w:val="BodyText"/>
              <w:spacing w:before="0"/>
              <w:ind w:left="0"/>
            </w:pPr>
            <w:r>
              <w:t xml:space="preserve">Updated on </w:t>
            </w:r>
            <w:r w:rsidR="0030368E">
              <w:t>25/03/2025</w:t>
            </w: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305EE25F" w14:textId="77777777" w:rsidR="00695B8E" w:rsidRPr="00484FE3" w:rsidRDefault="00695B8E" w:rsidP="009D2978">
            <w:pPr>
              <w:pStyle w:val="BodyText"/>
              <w:spacing w:before="0"/>
              <w:ind w:left="0"/>
              <w:rPr>
                <w:sz w:val="22"/>
                <w:szCs w:val="22"/>
              </w:rPr>
            </w:pPr>
          </w:p>
          <w:p w14:paraId="1C5877D9" w14:textId="51FFFC20" w:rsidR="00695B8E" w:rsidRDefault="00F26687" w:rsidP="009D2978">
            <w:pPr>
              <w:pStyle w:val="BodyText"/>
              <w:spacing w:before="0"/>
              <w:ind w:left="0"/>
              <w:rPr>
                <w:sz w:val="22"/>
                <w:szCs w:val="22"/>
              </w:rPr>
            </w:pPr>
            <w:r>
              <w:rPr>
                <w:sz w:val="22"/>
                <w:szCs w:val="22"/>
              </w:rPr>
              <w:t xml:space="preserve">The Council </w:t>
            </w:r>
            <w:proofErr w:type="spellStart"/>
            <w:r>
              <w:rPr>
                <w:sz w:val="22"/>
                <w:szCs w:val="22"/>
              </w:rPr>
              <w:t>recognises</w:t>
            </w:r>
            <w:proofErr w:type="spellEnd"/>
            <w:r>
              <w:rPr>
                <w:sz w:val="22"/>
                <w:szCs w:val="22"/>
              </w:rPr>
              <w:t xml:space="preserve"> the importance of equality, diversity and inclusion. We operate in an increasing evolving diverse community, and in an area of high deprivation, and we understand that the people who provide and use our services have a range of characteristics, varying and different needs, experiences and aspirations and ambitions.</w:t>
            </w:r>
          </w:p>
          <w:p w14:paraId="464893BF" w14:textId="77777777" w:rsidR="00F26687" w:rsidRDefault="00F26687" w:rsidP="009D2978">
            <w:pPr>
              <w:pStyle w:val="BodyText"/>
              <w:spacing w:before="0"/>
              <w:ind w:left="0"/>
              <w:rPr>
                <w:sz w:val="22"/>
                <w:szCs w:val="22"/>
              </w:rPr>
            </w:pPr>
          </w:p>
          <w:p w14:paraId="11964322" w14:textId="017EB38C" w:rsidR="00F26687" w:rsidRDefault="00F26687" w:rsidP="009D2978">
            <w:pPr>
              <w:pStyle w:val="BodyText"/>
              <w:spacing w:before="0"/>
              <w:ind w:left="0"/>
              <w:rPr>
                <w:sz w:val="22"/>
                <w:szCs w:val="22"/>
              </w:rPr>
            </w:pPr>
            <w:r>
              <w:rPr>
                <w:sz w:val="22"/>
                <w:szCs w:val="22"/>
              </w:rPr>
              <w:t>Understanding, valuing and effectively managing these differences ensures that our communities are places were people can get on together and prosper to the maximum of their abilities and have equal opportunities/ chances to do so.</w:t>
            </w:r>
          </w:p>
          <w:p w14:paraId="39AEB736" w14:textId="77777777" w:rsidR="00F26687" w:rsidRDefault="00F26687" w:rsidP="009D2978">
            <w:pPr>
              <w:pStyle w:val="BodyText"/>
              <w:spacing w:before="0"/>
              <w:ind w:left="0"/>
              <w:rPr>
                <w:sz w:val="22"/>
                <w:szCs w:val="22"/>
              </w:rPr>
            </w:pPr>
          </w:p>
          <w:p w14:paraId="5A1F8056" w14:textId="703B0566" w:rsidR="00F26687" w:rsidRDefault="00F26687" w:rsidP="009D2978">
            <w:pPr>
              <w:pStyle w:val="BodyText"/>
              <w:spacing w:before="0"/>
              <w:ind w:left="0"/>
              <w:rPr>
                <w:sz w:val="22"/>
                <w:szCs w:val="22"/>
              </w:rPr>
            </w:pPr>
            <w:r>
              <w:rPr>
                <w:sz w:val="22"/>
                <w:szCs w:val="22"/>
              </w:rPr>
              <w:t xml:space="preserve">The Council acknowledges with concern the published data on increases in </w:t>
            </w:r>
            <w:r w:rsidR="00CB7D0E">
              <w:rPr>
                <w:sz w:val="22"/>
                <w:szCs w:val="22"/>
              </w:rPr>
              <w:t xml:space="preserve">hate crimes and crimes towards people with protected characteristics as defined under the Equality Act 2010.  We also recognise that </w:t>
            </w:r>
            <w:proofErr w:type="gramStart"/>
            <w:r w:rsidR="00CB7D0E">
              <w:rPr>
                <w:sz w:val="22"/>
                <w:szCs w:val="22"/>
              </w:rPr>
              <w:t>a number of</w:t>
            </w:r>
            <w:proofErr w:type="gramEnd"/>
            <w:r w:rsidR="00CB7D0E">
              <w:rPr>
                <w:sz w:val="22"/>
                <w:szCs w:val="22"/>
              </w:rPr>
              <w:t xml:space="preserve"> victims of these crimes don’t have the confidence to report these for a variety of reasons e.g. fear of reprisal, not be treated seriously or investigated as this is how things are!  The Council is committed to work with the community to increase hate crime reporting and condemns all forms of discrimination and has made a commitment to ensure that all residents, visitors and those working in the district is treated with respect, dignity and with respect.</w:t>
            </w:r>
          </w:p>
          <w:p w14:paraId="443CD4DA" w14:textId="77777777" w:rsidR="00CB7D0E" w:rsidRDefault="00CB7D0E" w:rsidP="009D2978">
            <w:pPr>
              <w:pStyle w:val="BodyText"/>
              <w:spacing w:before="0"/>
              <w:ind w:left="0"/>
              <w:rPr>
                <w:sz w:val="22"/>
                <w:szCs w:val="22"/>
              </w:rPr>
            </w:pPr>
          </w:p>
          <w:p w14:paraId="67287295" w14:textId="670AE2CD" w:rsidR="00CB7D0E" w:rsidRDefault="00CB7D0E" w:rsidP="009D2978">
            <w:pPr>
              <w:pStyle w:val="BodyText"/>
              <w:spacing w:before="0"/>
              <w:ind w:left="0"/>
              <w:rPr>
                <w:sz w:val="22"/>
                <w:szCs w:val="22"/>
              </w:rPr>
            </w:pPr>
            <w:r>
              <w:rPr>
                <w:sz w:val="22"/>
                <w:szCs w:val="22"/>
              </w:rPr>
              <w:t>The focus, aims and principles which underpin our Equality Policy/ Equality Impact Assessment process and accompanying documentation are to:</w:t>
            </w:r>
          </w:p>
          <w:p w14:paraId="4182E202" w14:textId="77777777" w:rsidR="00CB7D0E" w:rsidRDefault="00CB7D0E" w:rsidP="009D2978">
            <w:pPr>
              <w:pStyle w:val="BodyText"/>
              <w:spacing w:before="0"/>
              <w:ind w:left="0"/>
              <w:rPr>
                <w:sz w:val="22"/>
                <w:szCs w:val="22"/>
              </w:rPr>
            </w:pPr>
          </w:p>
          <w:p w14:paraId="11DA2476" w14:textId="04480419" w:rsidR="00CB7D0E" w:rsidRDefault="00CB7D0E" w:rsidP="00CB7D0E">
            <w:pPr>
              <w:pStyle w:val="BodyText"/>
              <w:numPr>
                <w:ilvl w:val="0"/>
                <w:numId w:val="27"/>
              </w:numPr>
              <w:spacing w:before="0"/>
              <w:rPr>
                <w:sz w:val="22"/>
                <w:szCs w:val="22"/>
              </w:rPr>
            </w:pPr>
            <w:r>
              <w:rPr>
                <w:sz w:val="22"/>
                <w:szCs w:val="22"/>
              </w:rPr>
              <w:t>Meet the responsibilities placed on the Council via equalities legislation, specially but not inclusively, the Equality Act and the General and Specific duties under the Public Sector Equality Duty.</w:t>
            </w:r>
          </w:p>
          <w:p w14:paraId="66E27276" w14:textId="7D5AC019" w:rsidR="00CB7D0E" w:rsidRDefault="00CB7D0E" w:rsidP="00CB7D0E">
            <w:pPr>
              <w:pStyle w:val="BodyText"/>
              <w:numPr>
                <w:ilvl w:val="0"/>
                <w:numId w:val="27"/>
              </w:numPr>
              <w:spacing w:before="0"/>
              <w:rPr>
                <w:sz w:val="22"/>
                <w:szCs w:val="22"/>
              </w:rPr>
            </w:pPr>
            <w:r>
              <w:rPr>
                <w:sz w:val="22"/>
                <w:szCs w:val="22"/>
              </w:rPr>
              <w:t xml:space="preserve">Ensure that equality, diversity and inclusion </w:t>
            </w:r>
            <w:r w:rsidR="00162281">
              <w:rPr>
                <w:sz w:val="22"/>
                <w:szCs w:val="22"/>
              </w:rPr>
              <w:t>issues influence our decision making.</w:t>
            </w:r>
          </w:p>
          <w:p w14:paraId="1831A926" w14:textId="4C14D0A0" w:rsidR="00162281" w:rsidRDefault="00162281" w:rsidP="00CB7D0E">
            <w:pPr>
              <w:pStyle w:val="BodyText"/>
              <w:numPr>
                <w:ilvl w:val="0"/>
                <w:numId w:val="27"/>
              </w:numPr>
              <w:spacing w:before="0"/>
              <w:rPr>
                <w:sz w:val="22"/>
                <w:szCs w:val="22"/>
              </w:rPr>
            </w:pPr>
            <w:r>
              <w:rPr>
                <w:sz w:val="22"/>
                <w:szCs w:val="22"/>
              </w:rPr>
              <w:t>Identify any barriers that our policies, practices and procedures might have caused people to face and take steps to remove them.</w:t>
            </w:r>
          </w:p>
          <w:p w14:paraId="3A0DBDEB" w14:textId="01722967" w:rsidR="00162281" w:rsidRDefault="00162281" w:rsidP="00CB7D0E">
            <w:pPr>
              <w:pStyle w:val="BodyText"/>
              <w:numPr>
                <w:ilvl w:val="0"/>
                <w:numId w:val="27"/>
              </w:numPr>
              <w:spacing w:before="0"/>
              <w:rPr>
                <w:sz w:val="22"/>
                <w:szCs w:val="22"/>
              </w:rPr>
            </w:pPr>
            <w:r>
              <w:rPr>
                <w:sz w:val="22"/>
                <w:szCs w:val="22"/>
              </w:rPr>
              <w:t>Develop measures and actions to tackle discrimination.</w:t>
            </w:r>
          </w:p>
          <w:p w14:paraId="209D4D6C" w14:textId="16F9A015" w:rsidR="00162281" w:rsidRDefault="00162281" w:rsidP="00CB7D0E">
            <w:pPr>
              <w:pStyle w:val="BodyText"/>
              <w:numPr>
                <w:ilvl w:val="0"/>
                <w:numId w:val="27"/>
              </w:numPr>
              <w:spacing w:before="0"/>
              <w:rPr>
                <w:sz w:val="22"/>
                <w:szCs w:val="22"/>
              </w:rPr>
            </w:pPr>
            <w:r>
              <w:rPr>
                <w:sz w:val="22"/>
                <w:szCs w:val="22"/>
              </w:rPr>
              <w:lastRenderedPageBreak/>
              <w:t xml:space="preserve">Challenge </w:t>
            </w:r>
            <w:proofErr w:type="gramStart"/>
            <w:r>
              <w:rPr>
                <w:sz w:val="22"/>
                <w:szCs w:val="22"/>
              </w:rPr>
              <w:t>any and all</w:t>
            </w:r>
            <w:proofErr w:type="gramEnd"/>
            <w:r>
              <w:rPr>
                <w:sz w:val="22"/>
                <w:szCs w:val="22"/>
              </w:rPr>
              <w:t xml:space="preserve"> discrimination against people who work for the Council or who use our services or work in the area/ are visiting the district.</w:t>
            </w:r>
          </w:p>
          <w:p w14:paraId="01FBB1E5" w14:textId="4323F5DB" w:rsidR="00162281" w:rsidRDefault="00162281" w:rsidP="00CB7D0E">
            <w:pPr>
              <w:pStyle w:val="BodyText"/>
              <w:numPr>
                <w:ilvl w:val="0"/>
                <w:numId w:val="27"/>
              </w:numPr>
              <w:spacing w:before="0"/>
              <w:rPr>
                <w:sz w:val="22"/>
                <w:szCs w:val="22"/>
              </w:rPr>
            </w:pPr>
            <w:r>
              <w:rPr>
                <w:sz w:val="22"/>
                <w:szCs w:val="22"/>
              </w:rPr>
              <w:t>Raise staff awareness and understanding of these issues and embed in our Core Competencies.</w:t>
            </w:r>
          </w:p>
          <w:p w14:paraId="4EA7C872" w14:textId="77777777" w:rsidR="00162281" w:rsidRDefault="00162281" w:rsidP="00162281">
            <w:pPr>
              <w:pStyle w:val="BodyText"/>
              <w:spacing w:before="0"/>
              <w:rPr>
                <w:sz w:val="22"/>
                <w:szCs w:val="22"/>
              </w:rPr>
            </w:pPr>
          </w:p>
          <w:p w14:paraId="18D8837C" w14:textId="30F8C7E1" w:rsidR="00C871C6" w:rsidRDefault="003D2798" w:rsidP="00162281">
            <w:pPr>
              <w:pStyle w:val="BodyText"/>
              <w:spacing w:before="0"/>
              <w:rPr>
                <w:sz w:val="22"/>
                <w:szCs w:val="22"/>
              </w:rPr>
            </w:pPr>
            <w:r>
              <w:rPr>
                <w:sz w:val="22"/>
                <w:szCs w:val="22"/>
              </w:rPr>
              <w:t>The Equality Policy</w:t>
            </w:r>
            <w:r w:rsidR="00FD7542">
              <w:rPr>
                <w:sz w:val="22"/>
                <w:szCs w:val="22"/>
              </w:rPr>
              <w:t xml:space="preserve"> sets out our standards and principles on equality and how we will implement these. It’s </w:t>
            </w:r>
            <w:r w:rsidR="00162281">
              <w:rPr>
                <w:sz w:val="22"/>
                <w:szCs w:val="22"/>
              </w:rPr>
              <w:t xml:space="preserve">supporting documents e.g. Equality Impact Assessment process sets out the Council’s commitment to an inclusive and supportive environment for staff, Members, contractors, visitors and all we engage with that is free from discrimination, where all can participate and where everyone </w:t>
            </w:r>
            <w:proofErr w:type="gramStart"/>
            <w:r w:rsidR="00162281">
              <w:rPr>
                <w:sz w:val="22"/>
                <w:szCs w:val="22"/>
              </w:rPr>
              <w:t>has the opportunity to</w:t>
            </w:r>
            <w:proofErr w:type="gramEnd"/>
            <w:r w:rsidR="00162281">
              <w:rPr>
                <w:sz w:val="22"/>
                <w:szCs w:val="22"/>
              </w:rPr>
              <w:t xml:space="preserve"> fulfil their potential.  It promotes positive attitudes towards inclusivity and valuing diversity</w:t>
            </w:r>
            <w:r w:rsidR="00C871C6">
              <w:rPr>
                <w:sz w:val="22"/>
                <w:szCs w:val="22"/>
              </w:rPr>
              <w:t>, together with working towards inclusion for all.  It seeks to ensure that all who are subject to the Council’s policies, practices and procedures are treated fairly.</w:t>
            </w:r>
          </w:p>
          <w:p w14:paraId="31207226" w14:textId="77777777" w:rsidR="00C871C6" w:rsidRDefault="00C871C6" w:rsidP="00162281">
            <w:pPr>
              <w:pStyle w:val="BodyText"/>
              <w:spacing w:before="0"/>
              <w:rPr>
                <w:sz w:val="22"/>
                <w:szCs w:val="22"/>
              </w:rPr>
            </w:pPr>
          </w:p>
          <w:p w14:paraId="21A86DB1" w14:textId="77777777" w:rsidR="00C871C6" w:rsidRDefault="00C871C6" w:rsidP="00C871C6">
            <w:pPr>
              <w:pStyle w:val="BodyText"/>
              <w:spacing w:before="0"/>
              <w:ind w:left="0"/>
              <w:rPr>
                <w:sz w:val="22"/>
                <w:szCs w:val="22"/>
              </w:rPr>
            </w:pPr>
            <w:r>
              <w:rPr>
                <w:sz w:val="22"/>
                <w:szCs w:val="22"/>
              </w:rPr>
              <w:t>The policy aims to help us become more inclusive. Underpinning these objectives is a set of actions/ procedures that Council services will aim to follow to steer our work.</w:t>
            </w:r>
          </w:p>
          <w:p w14:paraId="6865369C" w14:textId="77777777" w:rsidR="00C871C6" w:rsidRDefault="00C871C6" w:rsidP="00C871C6">
            <w:pPr>
              <w:pStyle w:val="BodyText"/>
              <w:spacing w:before="0"/>
              <w:ind w:left="0"/>
              <w:rPr>
                <w:sz w:val="22"/>
                <w:szCs w:val="22"/>
              </w:rPr>
            </w:pPr>
          </w:p>
          <w:p w14:paraId="336115E6" w14:textId="77777777" w:rsidR="00C871C6" w:rsidRDefault="00C871C6" w:rsidP="00C871C6">
            <w:pPr>
              <w:pStyle w:val="BodyText"/>
              <w:spacing w:before="0"/>
              <w:ind w:left="0"/>
              <w:rPr>
                <w:sz w:val="22"/>
                <w:szCs w:val="22"/>
              </w:rPr>
            </w:pPr>
            <w:r>
              <w:rPr>
                <w:b/>
                <w:bCs/>
                <w:sz w:val="22"/>
                <w:szCs w:val="22"/>
              </w:rPr>
              <w:t xml:space="preserve">Who are the main beneficiaries </w:t>
            </w:r>
            <w:r>
              <w:rPr>
                <w:sz w:val="22"/>
                <w:szCs w:val="22"/>
              </w:rPr>
              <w:t>those that will benefit by the policy</w:t>
            </w:r>
          </w:p>
          <w:p w14:paraId="2CC58421" w14:textId="77777777" w:rsidR="00C871C6" w:rsidRDefault="00C871C6" w:rsidP="00C871C6">
            <w:pPr>
              <w:pStyle w:val="BodyText"/>
              <w:spacing w:before="0"/>
              <w:ind w:left="0"/>
              <w:rPr>
                <w:sz w:val="22"/>
                <w:szCs w:val="22"/>
              </w:rPr>
            </w:pPr>
          </w:p>
          <w:p w14:paraId="3D225DD0" w14:textId="678AB053" w:rsidR="00162281" w:rsidRPr="00484FE3" w:rsidRDefault="005A3DE6" w:rsidP="00C871C6">
            <w:pPr>
              <w:pStyle w:val="BodyText"/>
              <w:spacing w:before="0"/>
              <w:ind w:left="0"/>
              <w:rPr>
                <w:sz w:val="22"/>
                <w:szCs w:val="22"/>
              </w:rPr>
            </w:pPr>
            <w:r>
              <w:rPr>
                <w:sz w:val="22"/>
                <w:szCs w:val="22"/>
              </w:rPr>
              <w:t>Residents</w:t>
            </w:r>
            <w:r w:rsidR="00C871C6">
              <w:rPr>
                <w:sz w:val="22"/>
                <w:szCs w:val="22"/>
              </w:rPr>
              <w:t xml:space="preserve"> and businesses, community groups and associations.  Council staff, </w:t>
            </w:r>
            <w:proofErr w:type="spellStart"/>
            <w:r w:rsidR="00C871C6">
              <w:rPr>
                <w:sz w:val="22"/>
                <w:szCs w:val="22"/>
              </w:rPr>
              <w:t>Councillors</w:t>
            </w:r>
            <w:proofErr w:type="spellEnd"/>
            <w:r w:rsidR="00C871C6">
              <w:rPr>
                <w:sz w:val="22"/>
                <w:szCs w:val="22"/>
              </w:rPr>
              <w:t>, partners (</w:t>
            </w:r>
            <w:proofErr w:type="spellStart"/>
            <w:r w:rsidR="00C871C6">
              <w:rPr>
                <w:sz w:val="22"/>
                <w:szCs w:val="22"/>
              </w:rPr>
              <w:t>organisations</w:t>
            </w:r>
            <w:proofErr w:type="spellEnd"/>
            <w:r w:rsidR="00C871C6">
              <w:rPr>
                <w:sz w:val="22"/>
                <w:szCs w:val="22"/>
              </w:rPr>
              <w:t xml:space="preserve">/ agencies) Parish and Town Councils.  </w:t>
            </w:r>
          </w:p>
          <w:p w14:paraId="035493B6" w14:textId="77777777" w:rsidR="00484FE3" w:rsidRDefault="00484FE3" w:rsidP="009D2978">
            <w:pPr>
              <w:pStyle w:val="BodyText"/>
              <w:spacing w:before="0"/>
              <w:ind w:left="0"/>
              <w:rPr>
                <w:sz w:val="22"/>
                <w:szCs w:val="22"/>
              </w:rPr>
            </w:pPr>
          </w:p>
          <w:p w14:paraId="34CA4E69" w14:textId="7D76132E" w:rsidR="005A3DE6" w:rsidRDefault="005A3DE6" w:rsidP="009D2978">
            <w:pPr>
              <w:pStyle w:val="BodyText"/>
              <w:spacing w:before="0"/>
              <w:ind w:left="0"/>
              <w:rPr>
                <w:sz w:val="22"/>
                <w:szCs w:val="22"/>
              </w:rPr>
            </w:pPr>
            <w:r>
              <w:rPr>
                <w:sz w:val="22"/>
                <w:szCs w:val="22"/>
              </w:rPr>
              <w:t xml:space="preserve">It aims to have a positive impact across </w:t>
            </w:r>
            <w:proofErr w:type="gramStart"/>
            <w:r>
              <w:rPr>
                <w:sz w:val="22"/>
                <w:szCs w:val="22"/>
              </w:rPr>
              <w:t>all of</w:t>
            </w:r>
            <w:proofErr w:type="gramEnd"/>
            <w:r>
              <w:rPr>
                <w:sz w:val="22"/>
                <w:szCs w:val="22"/>
              </w:rPr>
              <w:t xml:space="preserve"> the protected characteristics, ensuring that we:</w:t>
            </w:r>
          </w:p>
          <w:p w14:paraId="418A4FE8" w14:textId="77777777" w:rsidR="005A3DE6" w:rsidRDefault="005A3DE6" w:rsidP="009D2978">
            <w:pPr>
              <w:pStyle w:val="BodyText"/>
              <w:spacing w:before="0"/>
              <w:ind w:left="0"/>
              <w:rPr>
                <w:sz w:val="22"/>
                <w:szCs w:val="22"/>
              </w:rPr>
            </w:pPr>
          </w:p>
          <w:p w14:paraId="11B9AD0C" w14:textId="67C03CD8" w:rsidR="005A3DE6" w:rsidRDefault="005A3DE6" w:rsidP="005A3DE6">
            <w:pPr>
              <w:pStyle w:val="BodyText"/>
              <w:numPr>
                <w:ilvl w:val="0"/>
                <w:numId w:val="29"/>
              </w:numPr>
              <w:spacing w:before="0"/>
              <w:rPr>
                <w:sz w:val="22"/>
                <w:szCs w:val="22"/>
              </w:rPr>
            </w:pPr>
            <w:r>
              <w:rPr>
                <w:sz w:val="22"/>
                <w:szCs w:val="22"/>
              </w:rPr>
              <w:t xml:space="preserve">Meet the responsibilities placed on us by the </w:t>
            </w:r>
            <w:r w:rsidR="00045817">
              <w:rPr>
                <w:sz w:val="22"/>
                <w:szCs w:val="22"/>
              </w:rPr>
              <w:t>equality’s</w:t>
            </w:r>
            <w:r>
              <w:rPr>
                <w:sz w:val="22"/>
                <w:szCs w:val="22"/>
              </w:rPr>
              <w:t xml:space="preserve"> legislation.</w:t>
            </w:r>
          </w:p>
          <w:p w14:paraId="16B1A792" w14:textId="735CBB00" w:rsidR="005A3DE6" w:rsidRDefault="005A3DE6" w:rsidP="005A3DE6">
            <w:pPr>
              <w:pStyle w:val="BodyText"/>
              <w:numPr>
                <w:ilvl w:val="0"/>
                <w:numId w:val="29"/>
              </w:numPr>
              <w:spacing w:before="0"/>
              <w:rPr>
                <w:sz w:val="22"/>
                <w:szCs w:val="22"/>
              </w:rPr>
            </w:pPr>
            <w:r>
              <w:rPr>
                <w:sz w:val="22"/>
                <w:szCs w:val="22"/>
              </w:rPr>
              <w:t xml:space="preserve">Take equality and inclusion issues </w:t>
            </w:r>
            <w:r w:rsidR="00045817">
              <w:rPr>
                <w:sz w:val="22"/>
                <w:szCs w:val="22"/>
              </w:rPr>
              <w:t xml:space="preserve">into account when making decisions. </w:t>
            </w:r>
          </w:p>
          <w:p w14:paraId="5BE804A1" w14:textId="7D646686" w:rsidR="00045817" w:rsidRDefault="00045817" w:rsidP="005A3DE6">
            <w:pPr>
              <w:pStyle w:val="BodyText"/>
              <w:numPr>
                <w:ilvl w:val="0"/>
                <w:numId w:val="29"/>
              </w:numPr>
              <w:spacing w:before="0"/>
              <w:rPr>
                <w:sz w:val="22"/>
                <w:szCs w:val="22"/>
              </w:rPr>
            </w:pPr>
            <w:r>
              <w:rPr>
                <w:sz w:val="22"/>
                <w:szCs w:val="22"/>
              </w:rPr>
              <w:t>Identify what barriers people face and take steps to remove them.</w:t>
            </w:r>
          </w:p>
          <w:p w14:paraId="0C6CA881" w14:textId="126D4A98" w:rsidR="00045817" w:rsidRPr="00484FE3" w:rsidRDefault="00045817" w:rsidP="005A3DE6">
            <w:pPr>
              <w:pStyle w:val="BodyText"/>
              <w:numPr>
                <w:ilvl w:val="0"/>
                <w:numId w:val="29"/>
              </w:numPr>
              <w:spacing w:before="0"/>
              <w:rPr>
                <w:sz w:val="22"/>
                <w:szCs w:val="22"/>
              </w:rPr>
            </w:pPr>
            <w:r>
              <w:rPr>
                <w:sz w:val="22"/>
                <w:szCs w:val="22"/>
              </w:rPr>
              <w:t>Develop policies, practices, measures and actions to tackle discrimination.</w:t>
            </w:r>
          </w:p>
          <w:p w14:paraId="0C03C56B" w14:textId="77777777" w:rsidR="00695B8E" w:rsidRPr="00484FE3" w:rsidRDefault="00695B8E" w:rsidP="009D2978">
            <w:pPr>
              <w:pStyle w:val="BodyText"/>
              <w:spacing w:before="0"/>
              <w:ind w:left="0"/>
              <w:rPr>
                <w:sz w:val="22"/>
                <w:szCs w:val="22"/>
              </w:rPr>
            </w:pPr>
          </w:p>
          <w:p w14:paraId="33D81480" w14:textId="77777777" w:rsidR="00695B8E" w:rsidRDefault="00695B8E" w:rsidP="009D2978">
            <w:pPr>
              <w:pStyle w:val="BodyText"/>
              <w:spacing w:before="0"/>
              <w:ind w:left="0"/>
            </w:pP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6249D0E7" w14:textId="77777777" w:rsidR="00CD0CD8" w:rsidRDefault="00CD0CD8" w:rsidP="00CD0CD8">
            <w:pPr>
              <w:tabs>
                <w:tab w:val="left" w:pos="1620"/>
              </w:tabs>
              <w:rPr>
                <w:rFonts w:cs="Arial"/>
                <w:szCs w:val="24"/>
              </w:rPr>
            </w:pPr>
          </w:p>
          <w:p w14:paraId="257CED51" w14:textId="77777777" w:rsidR="00CD0CD8" w:rsidRDefault="00C871C6" w:rsidP="00CD0CD8">
            <w:pPr>
              <w:tabs>
                <w:tab w:val="left" w:pos="1620"/>
              </w:tabs>
              <w:rPr>
                <w:rFonts w:cs="Arial"/>
                <w:szCs w:val="24"/>
              </w:rPr>
            </w:pPr>
            <w:r>
              <w:rPr>
                <w:rFonts w:cs="Arial"/>
                <w:szCs w:val="24"/>
              </w:rPr>
              <w:t>Local population data:</w:t>
            </w:r>
          </w:p>
          <w:p w14:paraId="20C03A51" w14:textId="77777777" w:rsidR="00C871C6" w:rsidRDefault="00C871C6" w:rsidP="00CD0CD8">
            <w:pPr>
              <w:tabs>
                <w:tab w:val="left" w:pos="1620"/>
              </w:tabs>
              <w:rPr>
                <w:rFonts w:cs="Arial"/>
                <w:szCs w:val="24"/>
              </w:rPr>
            </w:pPr>
          </w:p>
          <w:p w14:paraId="36E6C94F" w14:textId="77777777" w:rsidR="00C871C6" w:rsidRDefault="00C871C6" w:rsidP="00C871C6">
            <w:pPr>
              <w:pStyle w:val="ListParagraph"/>
              <w:numPr>
                <w:ilvl w:val="0"/>
                <w:numId w:val="28"/>
              </w:numPr>
              <w:tabs>
                <w:tab w:val="left" w:pos="1620"/>
              </w:tabs>
              <w:rPr>
                <w:rFonts w:cs="Arial"/>
                <w:szCs w:val="24"/>
              </w:rPr>
            </w:pPr>
            <w:r>
              <w:rPr>
                <w:rFonts w:cs="Arial"/>
                <w:szCs w:val="24"/>
              </w:rPr>
              <w:t>Cambridgeshire Insight</w:t>
            </w:r>
          </w:p>
          <w:p w14:paraId="1D0F65B7" w14:textId="77777777" w:rsidR="00C871C6" w:rsidRDefault="00C871C6" w:rsidP="00C871C6">
            <w:pPr>
              <w:pStyle w:val="ListParagraph"/>
              <w:numPr>
                <w:ilvl w:val="0"/>
                <w:numId w:val="28"/>
              </w:numPr>
              <w:tabs>
                <w:tab w:val="left" w:pos="1620"/>
              </w:tabs>
              <w:rPr>
                <w:rFonts w:cs="Arial"/>
                <w:szCs w:val="24"/>
              </w:rPr>
            </w:pPr>
            <w:r>
              <w:rPr>
                <w:rFonts w:cs="Arial"/>
                <w:szCs w:val="24"/>
              </w:rPr>
              <w:t>Office for National statistics 2021 Census</w:t>
            </w:r>
          </w:p>
          <w:p w14:paraId="4381E183" w14:textId="77777777" w:rsidR="00C871C6" w:rsidRDefault="00C871C6" w:rsidP="00C871C6">
            <w:pPr>
              <w:pStyle w:val="ListParagraph"/>
              <w:numPr>
                <w:ilvl w:val="0"/>
                <w:numId w:val="28"/>
              </w:numPr>
              <w:tabs>
                <w:tab w:val="left" w:pos="1620"/>
              </w:tabs>
              <w:rPr>
                <w:rFonts w:cs="Arial"/>
                <w:szCs w:val="24"/>
              </w:rPr>
            </w:pPr>
            <w:r>
              <w:rPr>
                <w:rFonts w:cs="Arial"/>
                <w:szCs w:val="24"/>
              </w:rPr>
              <w:t>ONS survey on Sexual Orientation in the UK (2017)</w:t>
            </w:r>
          </w:p>
          <w:p w14:paraId="0F8409A1" w14:textId="3A4588D5" w:rsidR="00C871C6" w:rsidRDefault="005A3DE6" w:rsidP="00C871C6">
            <w:pPr>
              <w:pStyle w:val="ListParagraph"/>
              <w:numPr>
                <w:ilvl w:val="0"/>
                <w:numId w:val="28"/>
              </w:numPr>
              <w:tabs>
                <w:tab w:val="left" w:pos="1620"/>
              </w:tabs>
              <w:rPr>
                <w:rFonts w:cs="Arial"/>
                <w:szCs w:val="24"/>
              </w:rPr>
            </w:pPr>
            <w:r>
              <w:rPr>
                <w:rFonts w:cs="Arial"/>
                <w:szCs w:val="24"/>
              </w:rPr>
              <w:t>Council’s Public Consultation rolling programme</w:t>
            </w:r>
          </w:p>
          <w:p w14:paraId="41B3607D" w14:textId="77777777" w:rsidR="005A3DE6" w:rsidRDefault="005A3DE6" w:rsidP="00C871C6">
            <w:pPr>
              <w:pStyle w:val="ListParagraph"/>
              <w:numPr>
                <w:ilvl w:val="0"/>
                <w:numId w:val="28"/>
              </w:numPr>
              <w:tabs>
                <w:tab w:val="left" w:pos="1620"/>
              </w:tabs>
              <w:rPr>
                <w:rFonts w:cs="Arial"/>
                <w:szCs w:val="24"/>
              </w:rPr>
            </w:pPr>
            <w:r>
              <w:rPr>
                <w:rFonts w:cs="Arial"/>
                <w:szCs w:val="24"/>
              </w:rPr>
              <w:t xml:space="preserve">Compliments, Complaints and Comments monitoring programme </w:t>
            </w:r>
          </w:p>
          <w:p w14:paraId="30EC7418" w14:textId="77777777" w:rsidR="005A3DE6" w:rsidRDefault="005A3DE6" w:rsidP="00C871C6">
            <w:pPr>
              <w:pStyle w:val="ListParagraph"/>
              <w:numPr>
                <w:ilvl w:val="0"/>
                <w:numId w:val="28"/>
              </w:numPr>
              <w:tabs>
                <w:tab w:val="left" w:pos="1620"/>
              </w:tabs>
              <w:rPr>
                <w:rFonts w:cs="Arial"/>
                <w:szCs w:val="24"/>
              </w:rPr>
            </w:pPr>
            <w:r>
              <w:rPr>
                <w:rFonts w:cs="Arial"/>
                <w:szCs w:val="24"/>
              </w:rPr>
              <w:t>Staff Equality Monitoring</w:t>
            </w:r>
          </w:p>
          <w:p w14:paraId="28F4FC04" w14:textId="0F161430" w:rsidR="005A3DE6" w:rsidRDefault="005A3DE6" w:rsidP="00C871C6">
            <w:pPr>
              <w:pStyle w:val="ListParagraph"/>
              <w:numPr>
                <w:ilvl w:val="0"/>
                <w:numId w:val="28"/>
              </w:numPr>
              <w:tabs>
                <w:tab w:val="left" w:pos="1620"/>
              </w:tabs>
              <w:rPr>
                <w:rFonts w:cs="Arial"/>
                <w:szCs w:val="24"/>
              </w:rPr>
            </w:pPr>
            <w:r>
              <w:rPr>
                <w:rFonts w:cs="Arial"/>
                <w:szCs w:val="24"/>
              </w:rPr>
              <w:t>Councils Street Scene Officers – Eyes and Ears on the ground</w:t>
            </w:r>
          </w:p>
          <w:p w14:paraId="48F0713D" w14:textId="77777777" w:rsidR="005A3DE6" w:rsidRDefault="005A3DE6" w:rsidP="00C871C6">
            <w:pPr>
              <w:pStyle w:val="ListParagraph"/>
              <w:numPr>
                <w:ilvl w:val="0"/>
                <w:numId w:val="28"/>
              </w:numPr>
              <w:tabs>
                <w:tab w:val="left" w:pos="1620"/>
              </w:tabs>
              <w:rPr>
                <w:rFonts w:cs="Arial"/>
                <w:szCs w:val="24"/>
              </w:rPr>
            </w:pPr>
            <w:r>
              <w:rPr>
                <w:rFonts w:cs="Arial"/>
                <w:szCs w:val="24"/>
              </w:rPr>
              <w:t>Fenland Diverse Community Forum</w:t>
            </w:r>
          </w:p>
          <w:p w14:paraId="7BD84CAD" w14:textId="77777777" w:rsidR="005A3DE6" w:rsidRDefault="005A3DE6" w:rsidP="00C871C6">
            <w:pPr>
              <w:pStyle w:val="ListParagraph"/>
              <w:numPr>
                <w:ilvl w:val="0"/>
                <w:numId w:val="28"/>
              </w:numPr>
              <w:tabs>
                <w:tab w:val="left" w:pos="1620"/>
              </w:tabs>
              <w:rPr>
                <w:rFonts w:cs="Arial"/>
                <w:szCs w:val="24"/>
              </w:rPr>
            </w:pPr>
            <w:r>
              <w:rPr>
                <w:rFonts w:cs="Arial"/>
                <w:szCs w:val="24"/>
              </w:rPr>
              <w:t>Fenland Tension Monitoring Group</w:t>
            </w:r>
          </w:p>
          <w:p w14:paraId="784576C4" w14:textId="77777777" w:rsidR="005A3DE6" w:rsidRDefault="005A3DE6" w:rsidP="00C871C6">
            <w:pPr>
              <w:pStyle w:val="ListParagraph"/>
              <w:numPr>
                <w:ilvl w:val="0"/>
                <w:numId w:val="28"/>
              </w:numPr>
              <w:tabs>
                <w:tab w:val="left" w:pos="1620"/>
              </w:tabs>
              <w:rPr>
                <w:rFonts w:cs="Arial"/>
                <w:szCs w:val="24"/>
              </w:rPr>
            </w:pPr>
            <w:r>
              <w:rPr>
                <w:rFonts w:cs="Arial"/>
                <w:szCs w:val="24"/>
              </w:rPr>
              <w:t>Home Office Diversity and Inclusion Strategy 2018-25</w:t>
            </w:r>
          </w:p>
          <w:p w14:paraId="76562D20" w14:textId="77777777" w:rsidR="005A3DE6" w:rsidRDefault="005A3DE6" w:rsidP="00C871C6">
            <w:pPr>
              <w:pStyle w:val="ListParagraph"/>
              <w:numPr>
                <w:ilvl w:val="0"/>
                <w:numId w:val="28"/>
              </w:numPr>
              <w:tabs>
                <w:tab w:val="left" w:pos="1620"/>
              </w:tabs>
              <w:rPr>
                <w:rFonts w:cs="Arial"/>
                <w:szCs w:val="24"/>
              </w:rPr>
            </w:pPr>
            <w:r>
              <w:rPr>
                <w:rFonts w:cs="Arial"/>
                <w:szCs w:val="24"/>
              </w:rPr>
              <w:lastRenderedPageBreak/>
              <w:t>Equality and Human Rights Commission Guidance on the Equality Act 2010</w:t>
            </w:r>
          </w:p>
          <w:p w14:paraId="56060F4D" w14:textId="4FE55DD0" w:rsidR="005A3DE6" w:rsidRDefault="005A3DE6" w:rsidP="00C871C6">
            <w:pPr>
              <w:pStyle w:val="ListParagraph"/>
              <w:numPr>
                <w:ilvl w:val="0"/>
                <w:numId w:val="28"/>
              </w:numPr>
              <w:tabs>
                <w:tab w:val="left" w:pos="1620"/>
              </w:tabs>
              <w:rPr>
                <w:rFonts w:cs="Arial"/>
                <w:szCs w:val="24"/>
              </w:rPr>
            </w:pPr>
            <w:r>
              <w:rPr>
                <w:rFonts w:cs="Arial"/>
                <w:szCs w:val="24"/>
              </w:rPr>
              <w:t>Government Guidance on the Equality Act 2010</w:t>
            </w:r>
          </w:p>
          <w:p w14:paraId="75B4B22D" w14:textId="77777777" w:rsidR="005A3DE6" w:rsidRDefault="005A3DE6" w:rsidP="00C871C6">
            <w:pPr>
              <w:pStyle w:val="ListParagraph"/>
              <w:numPr>
                <w:ilvl w:val="0"/>
                <w:numId w:val="28"/>
              </w:numPr>
              <w:tabs>
                <w:tab w:val="left" w:pos="1620"/>
              </w:tabs>
              <w:rPr>
                <w:rFonts w:cs="Arial"/>
                <w:szCs w:val="24"/>
              </w:rPr>
            </w:pPr>
            <w:r>
              <w:rPr>
                <w:rFonts w:cs="Arial"/>
                <w:szCs w:val="24"/>
              </w:rPr>
              <w:t>The Council’s Community Safety Plan</w:t>
            </w:r>
          </w:p>
          <w:p w14:paraId="3C0056F7" w14:textId="77777777" w:rsidR="005A3DE6" w:rsidRDefault="005A3DE6" w:rsidP="00C871C6">
            <w:pPr>
              <w:pStyle w:val="ListParagraph"/>
              <w:numPr>
                <w:ilvl w:val="0"/>
                <w:numId w:val="28"/>
              </w:numPr>
              <w:tabs>
                <w:tab w:val="left" w:pos="1620"/>
              </w:tabs>
              <w:rPr>
                <w:rFonts w:cs="Arial"/>
                <w:szCs w:val="24"/>
              </w:rPr>
            </w:pPr>
            <w:r>
              <w:rPr>
                <w:rFonts w:cs="Arial"/>
                <w:szCs w:val="24"/>
              </w:rPr>
              <w:t>Councils Communications Team</w:t>
            </w:r>
          </w:p>
          <w:p w14:paraId="5A2771BC" w14:textId="6D80FD55" w:rsidR="005A3DE6" w:rsidRPr="00C871C6" w:rsidRDefault="005A3DE6" w:rsidP="00C871C6">
            <w:pPr>
              <w:pStyle w:val="ListParagraph"/>
              <w:numPr>
                <w:ilvl w:val="0"/>
                <w:numId w:val="28"/>
              </w:numPr>
              <w:tabs>
                <w:tab w:val="left" w:pos="1620"/>
              </w:tabs>
              <w:rPr>
                <w:rFonts w:cs="Arial"/>
                <w:szCs w:val="24"/>
              </w:rPr>
            </w:pPr>
          </w:p>
        </w:tc>
        <w:tc>
          <w:tcPr>
            <w:tcW w:w="4649" w:type="dxa"/>
          </w:tcPr>
          <w:p w14:paraId="64555F28" w14:textId="77777777" w:rsidR="001E0ADF" w:rsidRDefault="001E0ADF" w:rsidP="001E0ADF">
            <w:pPr>
              <w:rPr>
                <w:rFonts w:cs="Arial"/>
                <w:szCs w:val="24"/>
              </w:rPr>
            </w:pPr>
          </w:p>
          <w:p w14:paraId="364322B9" w14:textId="7146595D" w:rsidR="00FD7542" w:rsidRDefault="00FD7542" w:rsidP="001E0ADF">
            <w:pPr>
              <w:rPr>
                <w:rFonts w:cs="Arial"/>
                <w:szCs w:val="24"/>
              </w:rPr>
            </w:pPr>
            <w:r>
              <w:rPr>
                <w:rFonts w:cs="Arial"/>
                <w:szCs w:val="24"/>
              </w:rPr>
              <w:t xml:space="preserve">Cross cuts across all protected characteristics </w:t>
            </w:r>
          </w:p>
        </w:tc>
        <w:tc>
          <w:tcPr>
            <w:tcW w:w="5298" w:type="dxa"/>
          </w:tcPr>
          <w:p w14:paraId="4897DC7D" w14:textId="77777777" w:rsidR="00CD0CD8" w:rsidRDefault="00CD0CD8" w:rsidP="00EE0E55">
            <w:pPr>
              <w:rPr>
                <w:rFonts w:cs="Arial"/>
                <w:szCs w:val="24"/>
              </w:rPr>
            </w:pPr>
          </w:p>
        </w:tc>
      </w:tr>
      <w:tr w:rsidR="001E0ADF" w14:paraId="4DF776CA" w14:textId="77777777" w:rsidTr="00484FE3">
        <w:tc>
          <w:tcPr>
            <w:tcW w:w="4649" w:type="dxa"/>
          </w:tcPr>
          <w:p w14:paraId="644A1D75" w14:textId="77777777" w:rsidR="001E0ADF" w:rsidRDefault="001E0ADF" w:rsidP="001E0ADF">
            <w:pPr>
              <w:rPr>
                <w:rFonts w:cs="Arial"/>
                <w:szCs w:val="24"/>
              </w:rPr>
            </w:pPr>
          </w:p>
        </w:tc>
        <w:tc>
          <w:tcPr>
            <w:tcW w:w="4649" w:type="dxa"/>
          </w:tcPr>
          <w:p w14:paraId="0A590007" w14:textId="77777777" w:rsidR="001E0ADF" w:rsidRDefault="001E0ADF" w:rsidP="001E0ADF">
            <w:pPr>
              <w:rPr>
                <w:rFonts w:cs="Arial"/>
                <w:szCs w:val="24"/>
              </w:rPr>
            </w:pPr>
          </w:p>
        </w:tc>
        <w:tc>
          <w:tcPr>
            <w:tcW w:w="5298" w:type="dxa"/>
          </w:tcPr>
          <w:p w14:paraId="1362BCF3" w14:textId="77777777" w:rsidR="001E0ADF" w:rsidRDefault="001E0ADF" w:rsidP="001E0ADF">
            <w:pPr>
              <w:rPr>
                <w:rFonts w:cs="Arial"/>
                <w:szCs w:val="24"/>
              </w:rPr>
            </w:pPr>
          </w:p>
        </w:tc>
      </w:tr>
      <w:tr w:rsidR="001E0ADF" w14:paraId="04D0AE79" w14:textId="77777777" w:rsidTr="00484FE3">
        <w:tc>
          <w:tcPr>
            <w:tcW w:w="4649" w:type="dxa"/>
          </w:tcPr>
          <w:p w14:paraId="29950C49" w14:textId="77777777" w:rsidR="001E0ADF" w:rsidRDefault="001E0ADF" w:rsidP="001E0ADF">
            <w:pPr>
              <w:rPr>
                <w:rFonts w:cs="Arial"/>
                <w:szCs w:val="24"/>
              </w:rPr>
            </w:pPr>
          </w:p>
        </w:tc>
        <w:tc>
          <w:tcPr>
            <w:tcW w:w="4649" w:type="dxa"/>
          </w:tcPr>
          <w:p w14:paraId="56050B62" w14:textId="77777777" w:rsidR="001E0ADF" w:rsidRDefault="001E0ADF" w:rsidP="001E0ADF">
            <w:pPr>
              <w:rPr>
                <w:rFonts w:cs="Arial"/>
                <w:szCs w:val="24"/>
              </w:rPr>
            </w:pPr>
          </w:p>
        </w:tc>
        <w:tc>
          <w:tcPr>
            <w:tcW w:w="5298" w:type="dxa"/>
          </w:tcPr>
          <w:p w14:paraId="1A9297A7" w14:textId="77777777" w:rsidR="001E0ADF" w:rsidRDefault="001E0ADF" w:rsidP="001E0ADF">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27CB0F69" w14:textId="26FD283C" w:rsidR="00484FE3" w:rsidRDefault="003D2798" w:rsidP="00484FE3">
            <w:pPr>
              <w:pStyle w:val="BodyText"/>
              <w:spacing w:before="0"/>
              <w:ind w:left="0"/>
            </w:pPr>
            <w:r>
              <w:t xml:space="preserve">A public consultation was conducted at the Fenland Diverse Communities Forum </w:t>
            </w:r>
            <w:r w:rsidR="006641B7">
              <w:t xml:space="preserve">annual community day attended by over 40 partner agencies, staff, Members and those in the community which gathered views on our Equality Policy and general approach to undertaking our work.  </w:t>
            </w:r>
          </w:p>
          <w:p w14:paraId="08F4DCCA" w14:textId="77777777" w:rsidR="006641B7" w:rsidRDefault="006641B7" w:rsidP="00484FE3">
            <w:pPr>
              <w:pStyle w:val="BodyText"/>
              <w:spacing w:before="0"/>
              <w:ind w:left="0"/>
            </w:pPr>
          </w:p>
          <w:p w14:paraId="4F2F479C" w14:textId="545DBD16" w:rsidR="006641B7" w:rsidRDefault="006641B7" w:rsidP="00484FE3">
            <w:pPr>
              <w:pStyle w:val="BodyText"/>
              <w:spacing w:before="0"/>
              <w:ind w:left="0"/>
            </w:pPr>
            <w:r>
              <w:t xml:space="preserve">In </w:t>
            </w:r>
            <w:proofErr w:type="gramStart"/>
            <w:r>
              <w:t>addition</w:t>
            </w:r>
            <w:proofErr w:type="gramEnd"/>
            <w:r>
              <w:t xml:space="preserve"> voluntary and community groups took part in the consultation.</w:t>
            </w:r>
          </w:p>
          <w:p w14:paraId="584A8406" w14:textId="77777777" w:rsidR="00484FE3" w:rsidRDefault="00484FE3" w:rsidP="00484FE3">
            <w:pPr>
              <w:pStyle w:val="BodyText"/>
              <w:spacing w:before="0"/>
              <w:ind w:left="0"/>
            </w:pPr>
          </w:p>
          <w:p w14:paraId="0BDE411A" w14:textId="77777777" w:rsidR="00484FE3" w:rsidRDefault="00484FE3" w:rsidP="00484FE3">
            <w:pPr>
              <w:pStyle w:val="BodyText"/>
              <w:spacing w:before="0"/>
              <w:ind w:left="0"/>
            </w:pP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lastRenderedPageBreak/>
        <w:t xml:space="preserve">a Positive Impact could benefit an equality </w:t>
      </w:r>
      <w:proofErr w:type="gramStart"/>
      <w:r w:rsidRPr="003D5A86">
        <w:rPr>
          <w:rFonts w:cs="Arial"/>
          <w:szCs w:val="24"/>
        </w:rPr>
        <w:t>group</w:t>
      </w:r>
      <w:proofErr w:type="gramEnd"/>
      <w:r w:rsidRPr="003D5A86">
        <w:rPr>
          <w:rFonts w:cs="Arial"/>
          <w:szCs w:val="24"/>
        </w:rPr>
        <w:t xml:space="preserve">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1"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14:paraId="65282C59" w14:textId="7665DE52" w:rsidTr="00713B84">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232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100" w:type="dxa"/>
            <w:shd w:val="clear" w:color="auto" w:fill="E7E6E6" w:themeFill="background2"/>
          </w:tcPr>
          <w:p w14:paraId="1BAD69B5" w14:textId="788C5F8A" w:rsidR="00713B84" w:rsidRPr="003D5A86" w:rsidRDefault="00713B84" w:rsidP="003D5A86">
            <w:pPr>
              <w:rPr>
                <w:b/>
                <w:bCs/>
              </w:rPr>
            </w:pPr>
            <w:r>
              <w:rPr>
                <w:b/>
                <w:bCs/>
              </w:rPr>
              <w:t>Neutral</w:t>
            </w:r>
          </w:p>
        </w:tc>
        <w:tc>
          <w:tcPr>
            <w:tcW w:w="2366"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13B84">
        <w:tc>
          <w:tcPr>
            <w:tcW w:w="2642" w:type="dxa"/>
          </w:tcPr>
          <w:p w14:paraId="513A40A0" w14:textId="6C6F07A9" w:rsidR="00713B84" w:rsidRDefault="00713B84" w:rsidP="00045817">
            <w:r>
              <w:t>Sex or Gender</w:t>
            </w:r>
          </w:p>
        </w:tc>
        <w:tc>
          <w:tcPr>
            <w:tcW w:w="2703" w:type="dxa"/>
          </w:tcPr>
          <w:p w14:paraId="42CE225A" w14:textId="17D75301" w:rsidR="00713B84" w:rsidRDefault="00713B84" w:rsidP="00045817">
            <w:pPr>
              <w:jc w:val="center"/>
            </w:pPr>
            <w:r>
              <w:t>Women</w:t>
            </w:r>
          </w:p>
        </w:tc>
        <w:tc>
          <w:tcPr>
            <w:tcW w:w="2320" w:type="dxa"/>
          </w:tcPr>
          <w:p w14:paraId="7908A392" w14:textId="1C790763" w:rsidR="00713B84" w:rsidRPr="00045817" w:rsidRDefault="00045817" w:rsidP="00045817">
            <w:pPr>
              <w:jc w:val="center"/>
              <w:rPr>
                <w:b/>
                <w:bCs/>
              </w:rPr>
            </w:pPr>
            <w:r w:rsidRPr="005965B0">
              <w:rPr>
                <w:b/>
                <w:bCs/>
              </w:rPr>
              <w:t>X</w:t>
            </w:r>
          </w:p>
        </w:tc>
        <w:tc>
          <w:tcPr>
            <w:tcW w:w="2100" w:type="dxa"/>
          </w:tcPr>
          <w:p w14:paraId="1798003D" w14:textId="56020C1F" w:rsidR="00713B84" w:rsidRPr="00713B84" w:rsidRDefault="00713B84" w:rsidP="00045817">
            <w:pPr>
              <w:jc w:val="center"/>
              <w:rPr>
                <w:b/>
                <w:bCs/>
              </w:rPr>
            </w:pPr>
          </w:p>
        </w:tc>
        <w:tc>
          <w:tcPr>
            <w:tcW w:w="2366" w:type="dxa"/>
          </w:tcPr>
          <w:p w14:paraId="5B77FFD0" w14:textId="687E72AC" w:rsidR="00713B84" w:rsidRDefault="00713B84" w:rsidP="00045817">
            <w:pPr>
              <w:jc w:val="center"/>
            </w:pPr>
          </w:p>
        </w:tc>
        <w:tc>
          <w:tcPr>
            <w:tcW w:w="2429" w:type="dxa"/>
          </w:tcPr>
          <w:p w14:paraId="08F5A552" w14:textId="77777777" w:rsidR="00713B84" w:rsidRDefault="00713B84" w:rsidP="00045817">
            <w:pPr>
              <w:jc w:val="center"/>
            </w:pPr>
          </w:p>
        </w:tc>
      </w:tr>
      <w:tr w:rsidR="00713B84" w14:paraId="3A6F56DB" w14:textId="6662611D" w:rsidTr="00713B84">
        <w:tc>
          <w:tcPr>
            <w:tcW w:w="2642" w:type="dxa"/>
          </w:tcPr>
          <w:p w14:paraId="2F9F6312" w14:textId="77777777" w:rsidR="00713B84" w:rsidRDefault="00713B84" w:rsidP="00045817"/>
        </w:tc>
        <w:tc>
          <w:tcPr>
            <w:tcW w:w="2703" w:type="dxa"/>
          </w:tcPr>
          <w:p w14:paraId="10A86C9A" w14:textId="3AC2675F" w:rsidR="00713B84" w:rsidRDefault="00713B84" w:rsidP="00045817">
            <w:pPr>
              <w:jc w:val="center"/>
            </w:pPr>
            <w:r>
              <w:t>Men</w:t>
            </w:r>
          </w:p>
        </w:tc>
        <w:tc>
          <w:tcPr>
            <w:tcW w:w="2320" w:type="dxa"/>
          </w:tcPr>
          <w:p w14:paraId="285B193A" w14:textId="126A8CAC" w:rsidR="00713B84" w:rsidRDefault="00045817" w:rsidP="00045817">
            <w:pPr>
              <w:jc w:val="center"/>
            </w:pPr>
            <w:r w:rsidRPr="005965B0">
              <w:rPr>
                <w:b/>
                <w:bCs/>
              </w:rPr>
              <w:t>X</w:t>
            </w:r>
          </w:p>
        </w:tc>
        <w:tc>
          <w:tcPr>
            <w:tcW w:w="2100" w:type="dxa"/>
          </w:tcPr>
          <w:p w14:paraId="7841F4C9" w14:textId="2797E0B9" w:rsidR="00713B84" w:rsidRDefault="00713B84" w:rsidP="00045817">
            <w:pPr>
              <w:jc w:val="center"/>
            </w:pPr>
          </w:p>
        </w:tc>
        <w:tc>
          <w:tcPr>
            <w:tcW w:w="2366" w:type="dxa"/>
          </w:tcPr>
          <w:p w14:paraId="49E39246" w14:textId="55A65101" w:rsidR="00713B84" w:rsidRDefault="00713B84" w:rsidP="00045817">
            <w:pPr>
              <w:jc w:val="center"/>
            </w:pPr>
          </w:p>
        </w:tc>
        <w:tc>
          <w:tcPr>
            <w:tcW w:w="2429" w:type="dxa"/>
          </w:tcPr>
          <w:p w14:paraId="6734888C" w14:textId="77777777" w:rsidR="00713B84" w:rsidRDefault="00713B84" w:rsidP="00045817">
            <w:pPr>
              <w:jc w:val="center"/>
            </w:pPr>
          </w:p>
        </w:tc>
      </w:tr>
      <w:tr w:rsidR="00713B84" w14:paraId="144A39C3" w14:textId="717FAC9A" w:rsidTr="00713B84">
        <w:tc>
          <w:tcPr>
            <w:tcW w:w="2642" w:type="dxa"/>
          </w:tcPr>
          <w:p w14:paraId="5C63D7B7" w14:textId="77777777" w:rsidR="00713B84" w:rsidRDefault="00713B84" w:rsidP="00045817"/>
        </w:tc>
        <w:tc>
          <w:tcPr>
            <w:tcW w:w="2703" w:type="dxa"/>
          </w:tcPr>
          <w:p w14:paraId="7D575E3E" w14:textId="145E1229" w:rsidR="00713B84" w:rsidRDefault="00713B84" w:rsidP="00045817">
            <w:pPr>
              <w:jc w:val="center"/>
            </w:pPr>
            <w:r>
              <w:t>Transgender</w:t>
            </w:r>
          </w:p>
        </w:tc>
        <w:tc>
          <w:tcPr>
            <w:tcW w:w="2320" w:type="dxa"/>
          </w:tcPr>
          <w:p w14:paraId="1BC77DC4" w14:textId="0482EF57" w:rsidR="00713B84" w:rsidRDefault="00045817" w:rsidP="00045817">
            <w:pPr>
              <w:jc w:val="center"/>
            </w:pPr>
            <w:r w:rsidRPr="005965B0">
              <w:rPr>
                <w:b/>
                <w:bCs/>
              </w:rPr>
              <w:t>X</w:t>
            </w:r>
          </w:p>
        </w:tc>
        <w:tc>
          <w:tcPr>
            <w:tcW w:w="2100" w:type="dxa"/>
          </w:tcPr>
          <w:p w14:paraId="02BC8F2F" w14:textId="0894DC6C" w:rsidR="00713B84" w:rsidRDefault="00713B84" w:rsidP="00045817">
            <w:pPr>
              <w:jc w:val="center"/>
            </w:pPr>
          </w:p>
        </w:tc>
        <w:tc>
          <w:tcPr>
            <w:tcW w:w="2366" w:type="dxa"/>
          </w:tcPr>
          <w:p w14:paraId="4F308AD0" w14:textId="6A799718" w:rsidR="00713B84" w:rsidRDefault="00713B84" w:rsidP="00045817">
            <w:pPr>
              <w:jc w:val="center"/>
            </w:pPr>
          </w:p>
        </w:tc>
        <w:tc>
          <w:tcPr>
            <w:tcW w:w="2429" w:type="dxa"/>
          </w:tcPr>
          <w:p w14:paraId="4A0D880E" w14:textId="77777777" w:rsidR="00713B84" w:rsidRDefault="00713B84" w:rsidP="00045817">
            <w:pPr>
              <w:jc w:val="center"/>
            </w:pPr>
          </w:p>
        </w:tc>
      </w:tr>
      <w:tr w:rsidR="00713B84" w14:paraId="60766B0B" w14:textId="77777777" w:rsidTr="00713B84">
        <w:tc>
          <w:tcPr>
            <w:tcW w:w="2642" w:type="dxa"/>
          </w:tcPr>
          <w:p w14:paraId="3341862C" w14:textId="05457808" w:rsidR="00713B84" w:rsidRDefault="00713B84" w:rsidP="00045817">
            <w:r>
              <w:t>Race</w:t>
            </w:r>
          </w:p>
        </w:tc>
        <w:tc>
          <w:tcPr>
            <w:tcW w:w="2703" w:type="dxa"/>
          </w:tcPr>
          <w:p w14:paraId="73C50F30" w14:textId="3A9807F5" w:rsidR="00713B84" w:rsidRDefault="00713B84" w:rsidP="00045817">
            <w:pPr>
              <w:jc w:val="center"/>
            </w:pPr>
            <w:r>
              <w:t>White</w:t>
            </w:r>
          </w:p>
        </w:tc>
        <w:tc>
          <w:tcPr>
            <w:tcW w:w="2320" w:type="dxa"/>
          </w:tcPr>
          <w:p w14:paraId="69E49008" w14:textId="269CA821" w:rsidR="00713B84" w:rsidRDefault="00045817" w:rsidP="00045817">
            <w:pPr>
              <w:jc w:val="center"/>
            </w:pPr>
            <w:r w:rsidRPr="005965B0">
              <w:rPr>
                <w:b/>
                <w:bCs/>
              </w:rPr>
              <w:t>X</w:t>
            </w:r>
          </w:p>
        </w:tc>
        <w:tc>
          <w:tcPr>
            <w:tcW w:w="2100" w:type="dxa"/>
          </w:tcPr>
          <w:p w14:paraId="30100EEB" w14:textId="51D8CC16" w:rsidR="00713B84" w:rsidRDefault="00713B84" w:rsidP="00045817">
            <w:pPr>
              <w:jc w:val="center"/>
            </w:pPr>
          </w:p>
        </w:tc>
        <w:tc>
          <w:tcPr>
            <w:tcW w:w="2366" w:type="dxa"/>
          </w:tcPr>
          <w:p w14:paraId="00767CD2" w14:textId="72CE2BF7" w:rsidR="00713B84" w:rsidRDefault="00713B84" w:rsidP="00045817">
            <w:pPr>
              <w:jc w:val="center"/>
            </w:pPr>
          </w:p>
        </w:tc>
        <w:tc>
          <w:tcPr>
            <w:tcW w:w="2429" w:type="dxa"/>
          </w:tcPr>
          <w:p w14:paraId="5C9F25B5" w14:textId="77777777" w:rsidR="00713B84" w:rsidRDefault="00713B84" w:rsidP="00045817">
            <w:pPr>
              <w:jc w:val="center"/>
            </w:pPr>
          </w:p>
        </w:tc>
      </w:tr>
      <w:tr w:rsidR="00713B84" w14:paraId="0FB9C5E0" w14:textId="77777777" w:rsidTr="00713B84">
        <w:tc>
          <w:tcPr>
            <w:tcW w:w="2642" w:type="dxa"/>
          </w:tcPr>
          <w:p w14:paraId="0CBFDD78" w14:textId="77777777" w:rsidR="00713B84" w:rsidRDefault="00713B84" w:rsidP="00045817"/>
        </w:tc>
        <w:tc>
          <w:tcPr>
            <w:tcW w:w="2703" w:type="dxa"/>
          </w:tcPr>
          <w:p w14:paraId="379FF213" w14:textId="512F6CDA" w:rsidR="00713B84" w:rsidRDefault="00713B84" w:rsidP="00045817">
            <w:pPr>
              <w:jc w:val="center"/>
            </w:pPr>
            <w:r>
              <w:t>Mixed or Multiple Ethnic Groups</w:t>
            </w:r>
          </w:p>
        </w:tc>
        <w:tc>
          <w:tcPr>
            <w:tcW w:w="2320" w:type="dxa"/>
          </w:tcPr>
          <w:p w14:paraId="0E16A68F" w14:textId="77777777" w:rsidR="00713B84" w:rsidRDefault="00713B84" w:rsidP="00045817">
            <w:pPr>
              <w:jc w:val="center"/>
            </w:pPr>
          </w:p>
        </w:tc>
        <w:tc>
          <w:tcPr>
            <w:tcW w:w="2100" w:type="dxa"/>
          </w:tcPr>
          <w:p w14:paraId="5B6B151C" w14:textId="051A5252" w:rsidR="00713B84" w:rsidRDefault="00713B84" w:rsidP="00045817">
            <w:pPr>
              <w:jc w:val="center"/>
            </w:pPr>
          </w:p>
        </w:tc>
        <w:tc>
          <w:tcPr>
            <w:tcW w:w="2366" w:type="dxa"/>
          </w:tcPr>
          <w:p w14:paraId="160085C2" w14:textId="7EDF6678" w:rsidR="00713B84" w:rsidRDefault="00713B84" w:rsidP="00045817">
            <w:pPr>
              <w:jc w:val="center"/>
            </w:pPr>
          </w:p>
        </w:tc>
        <w:tc>
          <w:tcPr>
            <w:tcW w:w="2429" w:type="dxa"/>
          </w:tcPr>
          <w:p w14:paraId="2D1813BB" w14:textId="77777777" w:rsidR="00713B84" w:rsidRDefault="00713B84" w:rsidP="00045817">
            <w:pPr>
              <w:jc w:val="center"/>
            </w:pPr>
          </w:p>
        </w:tc>
      </w:tr>
      <w:tr w:rsidR="00713B84" w14:paraId="6E71CA62" w14:textId="77777777" w:rsidTr="00713B84">
        <w:tc>
          <w:tcPr>
            <w:tcW w:w="2642" w:type="dxa"/>
          </w:tcPr>
          <w:p w14:paraId="1028A893" w14:textId="77777777" w:rsidR="00713B84" w:rsidRDefault="00713B84" w:rsidP="00045817"/>
        </w:tc>
        <w:tc>
          <w:tcPr>
            <w:tcW w:w="2703" w:type="dxa"/>
          </w:tcPr>
          <w:p w14:paraId="02D7D95C" w14:textId="7EA2E142" w:rsidR="00713B84" w:rsidRDefault="00713B84" w:rsidP="00045817">
            <w:pPr>
              <w:jc w:val="center"/>
            </w:pPr>
            <w:r>
              <w:t>Asian</w:t>
            </w:r>
          </w:p>
        </w:tc>
        <w:tc>
          <w:tcPr>
            <w:tcW w:w="2320" w:type="dxa"/>
          </w:tcPr>
          <w:p w14:paraId="2DBA5C9D" w14:textId="79CC50AA" w:rsidR="00713B84" w:rsidRDefault="00045817" w:rsidP="00045817">
            <w:pPr>
              <w:jc w:val="center"/>
            </w:pPr>
            <w:r w:rsidRPr="005965B0">
              <w:rPr>
                <w:b/>
                <w:bCs/>
              </w:rPr>
              <w:t>X</w:t>
            </w:r>
          </w:p>
        </w:tc>
        <w:tc>
          <w:tcPr>
            <w:tcW w:w="2100" w:type="dxa"/>
          </w:tcPr>
          <w:p w14:paraId="02A00B73" w14:textId="5DD4BD99" w:rsidR="00713B84" w:rsidRDefault="00713B84" w:rsidP="00045817">
            <w:pPr>
              <w:jc w:val="center"/>
            </w:pPr>
          </w:p>
        </w:tc>
        <w:tc>
          <w:tcPr>
            <w:tcW w:w="2366" w:type="dxa"/>
          </w:tcPr>
          <w:p w14:paraId="617FC3BC" w14:textId="309FEEFC" w:rsidR="00713B84" w:rsidRDefault="00713B84" w:rsidP="00045817">
            <w:pPr>
              <w:jc w:val="center"/>
            </w:pPr>
          </w:p>
        </w:tc>
        <w:tc>
          <w:tcPr>
            <w:tcW w:w="2429" w:type="dxa"/>
          </w:tcPr>
          <w:p w14:paraId="7D84E5D3" w14:textId="77777777" w:rsidR="00713B84" w:rsidRDefault="00713B84" w:rsidP="00045817">
            <w:pPr>
              <w:jc w:val="center"/>
            </w:pPr>
          </w:p>
        </w:tc>
      </w:tr>
      <w:tr w:rsidR="00713B84" w14:paraId="0B7047EF" w14:textId="77777777" w:rsidTr="00713B84">
        <w:tc>
          <w:tcPr>
            <w:tcW w:w="2642" w:type="dxa"/>
          </w:tcPr>
          <w:p w14:paraId="2777AE8C" w14:textId="77777777" w:rsidR="00713B84" w:rsidRDefault="00713B84" w:rsidP="00045817"/>
        </w:tc>
        <w:tc>
          <w:tcPr>
            <w:tcW w:w="2703" w:type="dxa"/>
          </w:tcPr>
          <w:p w14:paraId="356FFB7D" w14:textId="354A3756" w:rsidR="00713B84" w:rsidRDefault="00713B84" w:rsidP="00045817">
            <w:pPr>
              <w:jc w:val="center"/>
            </w:pPr>
            <w:r>
              <w:t>African</w:t>
            </w:r>
          </w:p>
        </w:tc>
        <w:tc>
          <w:tcPr>
            <w:tcW w:w="2320" w:type="dxa"/>
          </w:tcPr>
          <w:p w14:paraId="240FC0F4" w14:textId="45D6BB7D" w:rsidR="00713B84" w:rsidRDefault="00045817" w:rsidP="00045817">
            <w:pPr>
              <w:jc w:val="center"/>
            </w:pPr>
            <w:r w:rsidRPr="005965B0">
              <w:rPr>
                <w:b/>
                <w:bCs/>
              </w:rPr>
              <w:t>X</w:t>
            </w:r>
          </w:p>
        </w:tc>
        <w:tc>
          <w:tcPr>
            <w:tcW w:w="2100" w:type="dxa"/>
          </w:tcPr>
          <w:p w14:paraId="578A42B4" w14:textId="457A7E0F" w:rsidR="00713B84" w:rsidRDefault="00713B84" w:rsidP="00045817">
            <w:pPr>
              <w:jc w:val="center"/>
            </w:pPr>
          </w:p>
        </w:tc>
        <w:tc>
          <w:tcPr>
            <w:tcW w:w="2366" w:type="dxa"/>
          </w:tcPr>
          <w:p w14:paraId="0B6A229E" w14:textId="3372D60B" w:rsidR="00713B84" w:rsidRDefault="00713B84" w:rsidP="00045817">
            <w:pPr>
              <w:jc w:val="center"/>
            </w:pPr>
          </w:p>
        </w:tc>
        <w:tc>
          <w:tcPr>
            <w:tcW w:w="2429" w:type="dxa"/>
          </w:tcPr>
          <w:p w14:paraId="01BEAFF0" w14:textId="77777777" w:rsidR="00713B84" w:rsidRDefault="00713B84" w:rsidP="00045817">
            <w:pPr>
              <w:jc w:val="center"/>
            </w:pPr>
          </w:p>
        </w:tc>
      </w:tr>
      <w:tr w:rsidR="00713B84" w14:paraId="03CD8CBC" w14:textId="77777777" w:rsidTr="00713B84">
        <w:tc>
          <w:tcPr>
            <w:tcW w:w="2642" w:type="dxa"/>
          </w:tcPr>
          <w:p w14:paraId="25BAB087" w14:textId="77777777" w:rsidR="00713B84" w:rsidRDefault="00713B84" w:rsidP="00045817"/>
        </w:tc>
        <w:tc>
          <w:tcPr>
            <w:tcW w:w="2703" w:type="dxa"/>
          </w:tcPr>
          <w:p w14:paraId="0612E245" w14:textId="46606654" w:rsidR="00713B84" w:rsidRDefault="00713B84" w:rsidP="00045817">
            <w:pPr>
              <w:jc w:val="center"/>
            </w:pPr>
            <w:r>
              <w:t>Caribbean or Black</w:t>
            </w:r>
          </w:p>
        </w:tc>
        <w:tc>
          <w:tcPr>
            <w:tcW w:w="2320" w:type="dxa"/>
          </w:tcPr>
          <w:p w14:paraId="1D7F1F86" w14:textId="1E1E2B9C" w:rsidR="00713B84" w:rsidRDefault="00045817" w:rsidP="00045817">
            <w:pPr>
              <w:jc w:val="center"/>
            </w:pPr>
            <w:r w:rsidRPr="005965B0">
              <w:rPr>
                <w:b/>
                <w:bCs/>
              </w:rPr>
              <w:t>X</w:t>
            </w:r>
          </w:p>
        </w:tc>
        <w:tc>
          <w:tcPr>
            <w:tcW w:w="2100" w:type="dxa"/>
          </w:tcPr>
          <w:p w14:paraId="1BAE5336" w14:textId="0742D95F" w:rsidR="00713B84" w:rsidRDefault="00713B84" w:rsidP="00045817">
            <w:pPr>
              <w:jc w:val="center"/>
            </w:pPr>
          </w:p>
        </w:tc>
        <w:tc>
          <w:tcPr>
            <w:tcW w:w="2366" w:type="dxa"/>
          </w:tcPr>
          <w:p w14:paraId="30E922D6" w14:textId="61F1FE1C" w:rsidR="00713B84" w:rsidRDefault="00713B84" w:rsidP="00045817">
            <w:pPr>
              <w:jc w:val="center"/>
            </w:pPr>
          </w:p>
        </w:tc>
        <w:tc>
          <w:tcPr>
            <w:tcW w:w="2429" w:type="dxa"/>
          </w:tcPr>
          <w:p w14:paraId="7AEA2655" w14:textId="77777777" w:rsidR="00713B84" w:rsidRDefault="00713B84" w:rsidP="00045817">
            <w:pPr>
              <w:jc w:val="center"/>
            </w:pPr>
          </w:p>
        </w:tc>
      </w:tr>
      <w:tr w:rsidR="00713B84" w14:paraId="381A2A74" w14:textId="77777777" w:rsidTr="00713B84">
        <w:tc>
          <w:tcPr>
            <w:tcW w:w="2642" w:type="dxa"/>
          </w:tcPr>
          <w:p w14:paraId="75AF0A79" w14:textId="77777777" w:rsidR="00713B84" w:rsidRDefault="00713B84" w:rsidP="00045817"/>
        </w:tc>
        <w:tc>
          <w:tcPr>
            <w:tcW w:w="2703" w:type="dxa"/>
          </w:tcPr>
          <w:p w14:paraId="5731B9D1" w14:textId="2B5A883D" w:rsidR="00713B84" w:rsidRDefault="00713B84" w:rsidP="00045817">
            <w:pPr>
              <w:jc w:val="center"/>
            </w:pPr>
            <w:r>
              <w:t>Other Ethnic Group</w:t>
            </w:r>
          </w:p>
        </w:tc>
        <w:tc>
          <w:tcPr>
            <w:tcW w:w="2320" w:type="dxa"/>
          </w:tcPr>
          <w:p w14:paraId="29B27C7D" w14:textId="35DF18A1" w:rsidR="00713B84" w:rsidRDefault="00045817" w:rsidP="00045817">
            <w:pPr>
              <w:jc w:val="center"/>
            </w:pPr>
            <w:r w:rsidRPr="005965B0">
              <w:rPr>
                <w:b/>
                <w:bCs/>
              </w:rPr>
              <w:t>X</w:t>
            </w:r>
          </w:p>
        </w:tc>
        <w:tc>
          <w:tcPr>
            <w:tcW w:w="2100" w:type="dxa"/>
          </w:tcPr>
          <w:p w14:paraId="5091EE0D" w14:textId="2A99D5C6" w:rsidR="00713B84" w:rsidRDefault="00713B84" w:rsidP="00045817">
            <w:pPr>
              <w:jc w:val="center"/>
            </w:pPr>
          </w:p>
        </w:tc>
        <w:tc>
          <w:tcPr>
            <w:tcW w:w="2366" w:type="dxa"/>
          </w:tcPr>
          <w:p w14:paraId="3F5EA106" w14:textId="01E530E8" w:rsidR="00713B84" w:rsidRDefault="00713B84" w:rsidP="00045817">
            <w:pPr>
              <w:jc w:val="center"/>
            </w:pPr>
          </w:p>
        </w:tc>
        <w:tc>
          <w:tcPr>
            <w:tcW w:w="2429" w:type="dxa"/>
          </w:tcPr>
          <w:p w14:paraId="2C544650" w14:textId="77777777" w:rsidR="00713B84" w:rsidRDefault="00713B84" w:rsidP="00045817">
            <w:pPr>
              <w:jc w:val="center"/>
            </w:pPr>
          </w:p>
        </w:tc>
      </w:tr>
      <w:tr w:rsidR="00713B84" w14:paraId="0A38FDB3" w14:textId="77777777" w:rsidTr="00713B84">
        <w:tc>
          <w:tcPr>
            <w:tcW w:w="2642" w:type="dxa"/>
          </w:tcPr>
          <w:p w14:paraId="7E05F785" w14:textId="1EA7A894" w:rsidR="00713B84" w:rsidRDefault="00713B84" w:rsidP="00045817">
            <w:r>
              <w:t>Disability</w:t>
            </w:r>
          </w:p>
        </w:tc>
        <w:tc>
          <w:tcPr>
            <w:tcW w:w="2703" w:type="dxa"/>
          </w:tcPr>
          <w:p w14:paraId="45F5B522" w14:textId="10261685" w:rsidR="00713B84" w:rsidRDefault="00713B84" w:rsidP="00045817">
            <w:pPr>
              <w:jc w:val="center"/>
            </w:pPr>
            <w:r>
              <w:t>Physical disability</w:t>
            </w:r>
          </w:p>
        </w:tc>
        <w:tc>
          <w:tcPr>
            <w:tcW w:w="2320" w:type="dxa"/>
          </w:tcPr>
          <w:p w14:paraId="7E32B117" w14:textId="7B115005" w:rsidR="00713B84" w:rsidRDefault="00045817" w:rsidP="00045817">
            <w:pPr>
              <w:jc w:val="center"/>
            </w:pPr>
            <w:r w:rsidRPr="005965B0">
              <w:rPr>
                <w:b/>
                <w:bCs/>
              </w:rPr>
              <w:t>X</w:t>
            </w:r>
          </w:p>
        </w:tc>
        <w:tc>
          <w:tcPr>
            <w:tcW w:w="2100" w:type="dxa"/>
          </w:tcPr>
          <w:p w14:paraId="10293983" w14:textId="6AAAD29C" w:rsidR="00713B84" w:rsidRDefault="00713B84" w:rsidP="00045817">
            <w:pPr>
              <w:jc w:val="center"/>
            </w:pPr>
          </w:p>
        </w:tc>
        <w:tc>
          <w:tcPr>
            <w:tcW w:w="2366" w:type="dxa"/>
          </w:tcPr>
          <w:p w14:paraId="79C0B417" w14:textId="1B791BB9" w:rsidR="00713B84" w:rsidRDefault="00713B84" w:rsidP="00045817">
            <w:pPr>
              <w:jc w:val="center"/>
            </w:pPr>
          </w:p>
        </w:tc>
        <w:tc>
          <w:tcPr>
            <w:tcW w:w="2429" w:type="dxa"/>
          </w:tcPr>
          <w:p w14:paraId="70C9D68E" w14:textId="77777777" w:rsidR="00713B84" w:rsidRDefault="00713B84" w:rsidP="00045817">
            <w:pPr>
              <w:jc w:val="center"/>
            </w:pPr>
          </w:p>
        </w:tc>
      </w:tr>
      <w:tr w:rsidR="00713B84" w14:paraId="2754F896" w14:textId="77777777" w:rsidTr="00713B84">
        <w:tc>
          <w:tcPr>
            <w:tcW w:w="2642" w:type="dxa"/>
          </w:tcPr>
          <w:p w14:paraId="478BEF29" w14:textId="77777777" w:rsidR="00713B84" w:rsidRDefault="00713B84" w:rsidP="00045817"/>
        </w:tc>
        <w:tc>
          <w:tcPr>
            <w:tcW w:w="2703" w:type="dxa"/>
          </w:tcPr>
          <w:p w14:paraId="5E62D614" w14:textId="368B41FA" w:rsidR="00713B84" w:rsidRDefault="00713B84" w:rsidP="00045817">
            <w:pPr>
              <w:jc w:val="center"/>
            </w:pPr>
            <w:r>
              <w:t>Sensory Impairment (e.g. sight, heading)</w:t>
            </w:r>
          </w:p>
        </w:tc>
        <w:tc>
          <w:tcPr>
            <w:tcW w:w="2320" w:type="dxa"/>
          </w:tcPr>
          <w:p w14:paraId="10BBA379" w14:textId="4DC57E64" w:rsidR="00713B84" w:rsidRDefault="00045817" w:rsidP="00045817">
            <w:pPr>
              <w:jc w:val="center"/>
            </w:pPr>
            <w:r w:rsidRPr="005965B0">
              <w:rPr>
                <w:b/>
                <w:bCs/>
              </w:rPr>
              <w:t>X</w:t>
            </w:r>
          </w:p>
        </w:tc>
        <w:tc>
          <w:tcPr>
            <w:tcW w:w="2100" w:type="dxa"/>
          </w:tcPr>
          <w:p w14:paraId="5E290BF1" w14:textId="365EA807" w:rsidR="00713B84" w:rsidRDefault="00713B84" w:rsidP="00045817">
            <w:pPr>
              <w:jc w:val="center"/>
            </w:pPr>
          </w:p>
        </w:tc>
        <w:tc>
          <w:tcPr>
            <w:tcW w:w="2366" w:type="dxa"/>
          </w:tcPr>
          <w:p w14:paraId="097B0325" w14:textId="63340823" w:rsidR="00713B84" w:rsidRDefault="00713B84" w:rsidP="00045817">
            <w:pPr>
              <w:jc w:val="center"/>
            </w:pPr>
          </w:p>
        </w:tc>
        <w:tc>
          <w:tcPr>
            <w:tcW w:w="2429" w:type="dxa"/>
          </w:tcPr>
          <w:p w14:paraId="4F346008" w14:textId="77777777" w:rsidR="00713B84" w:rsidRDefault="00713B84" w:rsidP="00045817">
            <w:pPr>
              <w:jc w:val="center"/>
            </w:pPr>
          </w:p>
        </w:tc>
      </w:tr>
      <w:tr w:rsidR="00713B84" w14:paraId="3AFFCDB4" w14:textId="77777777" w:rsidTr="00713B84">
        <w:tc>
          <w:tcPr>
            <w:tcW w:w="2642" w:type="dxa"/>
          </w:tcPr>
          <w:p w14:paraId="38462805" w14:textId="77777777" w:rsidR="00713B84" w:rsidRDefault="00713B84" w:rsidP="00045817"/>
        </w:tc>
        <w:tc>
          <w:tcPr>
            <w:tcW w:w="2703" w:type="dxa"/>
          </w:tcPr>
          <w:p w14:paraId="767A07E1" w14:textId="31886DDD" w:rsidR="00713B84" w:rsidRDefault="00713B84" w:rsidP="00045817">
            <w:pPr>
              <w:jc w:val="center"/>
            </w:pPr>
            <w:r>
              <w:t>Mental health</w:t>
            </w:r>
          </w:p>
        </w:tc>
        <w:tc>
          <w:tcPr>
            <w:tcW w:w="2320" w:type="dxa"/>
          </w:tcPr>
          <w:p w14:paraId="428D2831" w14:textId="4DFD921B" w:rsidR="00713B84" w:rsidRDefault="00045817" w:rsidP="00045817">
            <w:pPr>
              <w:jc w:val="center"/>
            </w:pPr>
            <w:r w:rsidRPr="005965B0">
              <w:rPr>
                <w:b/>
                <w:bCs/>
              </w:rPr>
              <w:t>X</w:t>
            </w:r>
          </w:p>
        </w:tc>
        <w:tc>
          <w:tcPr>
            <w:tcW w:w="2100" w:type="dxa"/>
          </w:tcPr>
          <w:p w14:paraId="1746C4B8" w14:textId="6860E9F6" w:rsidR="00713B84" w:rsidRDefault="00713B84" w:rsidP="00045817">
            <w:pPr>
              <w:jc w:val="center"/>
            </w:pPr>
          </w:p>
        </w:tc>
        <w:tc>
          <w:tcPr>
            <w:tcW w:w="2366" w:type="dxa"/>
          </w:tcPr>
          <w:p w14:paraId="3C4BB78B" w14:textId="47C2CD32" w:rsidR="00713B84" w:rsidRDefault="00713B84" w:rsidP="00045817">
            <w:pPr>
              <w:jc w:val="center"/>
            </w:pPr>
          </w:p>
        </w:tc>
        <w:tc>
          <w:tcPr>
            <w:tcW w:w="2429" w:type="dxa"/>
          </w:tcPr>
          <w:p w14:paraId="3FCD1DDF" w14:textId="77777777" w:rsidR="00713B84" w:rsidRDefault="00713B84" w:rsidP="00045817">
            <w:pPr>
              <w:jc w:val="center"/>
            </w:pPr>
          </w:p>
        </w:tc>
      </w:tr>
      <w:tr w:rsidR="00713B84" w14:paraId="1B61160E" w14:textId="77777777" w:rsidTr="00713B84">
        <w:tc>
          <w:tcPr>
            <w:tcW w:w="2642" w:type="dxa"/>
          </w:tcPr>
          <w:p w14:paraId="72657B66" w14:textId="77777777" w:rsidR="00713B84" w:rsidRDefault="00713B84" w:rsidP="00045817"/>
        </w:tc>
        <w:tc>
          <w:tcPr>
            <w:tcW w:w="2703" w:type="dxa"/>
          </w:tcPr>
          <w:p w14:paraId="3A3BEC7E" w14:textId="181F8590" w:rsidR="00713B84" w:rsidRDefault="00713B84" w:rsidP="00045817">
            <w:pPr>
              <w:jc w:val="center"/>
            </w:pPr>
            <w:r>
              <w:t>Learning disability</w:t>
            </w:r>
          </w:p>
        </w:tc>
        <w:tc>
          <w:tcPr>
            <w:tcW w:w="2320" w:type="dxa"/>
          </w:tcPr>
          <w:p w14:paraId="27EC821B" w14:textId="5215088B" w:rsidR="00713B84" w:rsidRDefault="00045817" w:rsidP="00045817">
            <w:pPr>
              <w:jc w:val="center"/>
            </w:pPr>
            <w:r w:rsidRPr="005965B0">
              <w:rPr>
                <w:b/>
                <w:bCs/>
              </w:rPr>
              <w:t>X</w:t>
            </w:r>
          </w:p>
        </w:tc>
        <w:tc>
          <w:tcPr>
            <w:tcW w:w="2100" w:type="dxa"/>
          </w:tcPr>
          <w:p w14:paraId="18D25F00" w14:textId="7D8EB7EE" w:rsidR="00713B84" w:rsidRDefault="00713B84" w:rsidP="00045817">
            <w:pPr>
              <w:jc w:val="center"/>
            </w:pPr>
          </w:p>
        </w:tc>
        <w:tc>
          <w:tcPr>
            <w:tcW w:w="2366" w:type="dxa"/>
          </w:tcPr>
          <w:p w14:paraId="3748019A" w14:textId="50C7B75E" w:rsidR="00713B84" w:rsidRDefault="00713B84" w:rsidP="00045817">
            <w:pPr>
              <w:jc w:val="center"/>
            </w:pPr>
          </w:p>
        </w:tc>
        <w:tc>
          <w:tcPr>
            <w:tcW w:w="2429" w:type="dxa"/>
          </w:tcPr>
          <w:p w14:paraId="607248D6" w14:textId="77777777" w:rsidR="00713B84" w:rsidRDefault="00713B84" w:rsidP="00045817">
            <w:pPr>
              <w:jc w:val="center"/>
            </w:pPr>
          </w:p>
        </w:tc>
      </w:tr>
      <w:tr w:rsidR="00713B84" w14:paraId="6BEA0620" w14:textId="77777777" w:rsidTr="00713B84">
        <w:tc>
          <w:tcPr>
            <w:tcW w:w="2642" w:type="dxa"/>
          </w:tcPr>
          <w:p w14:paraId="210F5A3B" w14:textId="05DF5078" w:rsidR="00713B84" w:rsidRDefault="00713B84" w:rsidP="00045817">
            <w:r>
              <w:t>LGBT</w:t>
            </w:r>
          </w:p>
        </w:tc>
        <w:tc>
          <w:tcPr>
            <w:tcW w:w="2703" w:type="dxa"/>
          </w:tcPr>
          <w:p w14:paraId="6505520A" w14:textId="249E4FC6" w:rsidR="00713B84" w:rsidRDefault="00713B84" w:rsidP="00045817">
            <w:pPr>
              <w:jc w:val="center"/>
            </w:pPr>
            <w:r>
              <w:t>Lesbians</w:t>
            </w:r>
          </w:p>
        </w:tc>
        <w:tc>
          <w:tcPr>
            <w:tcW w:w="2320" w:type="dxa"/>
          </w:tcPr>
          <w:p w14:paraId="182923D9" w14:textId="3A0954D5" w:rsidR="00713B84" w:rsidRDefault="00045817" w:rsidP="00045817">
            <w:pPr>
              <w:jc w:val="center"/>
            </w:pPr>
            <w:r w:rsidRPr="005965B0">
              <w:rPr>
                <w:b/>
                <w:bCs/>
              </w:rPr>
              <w:t>X</w:t>
            </w:r>
          </w:p>
        </w:tc>
        <w:tc>
          <w:tcPr>
            <w:tcW w:w="2100" w:type="dxa"/>
          </w:tcPr>
          <w:p w14:paraId="7EC2D735" w14:textId="67333240" w:rsidR="00713B84" w:rsidRDefault="00713B84" w:rsidP="00045817">
            <w:pPr>
              <w:jc w:val="center"/>
            </w:pPr>
          </w:p>
        </w:tc>
        <w:tc>
          <w:tcPr>
            <w:tcW w:w="2366" w:type="dxa"/>
          </w:tcPr>
          <w:p w14:paraId="7D5109FB" w14:textId="30B3DA1A" w:rsidR="00713B84" w:rsidRDefault="00713B84" w:rsidP="00045817">
            <w:pPr>
              <w:jc w:val="center"/>
            </w:pPr>
          </w:p>
        </w:tc>
        <w:tc>
          <w:tcPr>
            <w:tcW w:w="2429" w:type="dxa"/>
          </w:tcPr>
          <w:p w14:paraId="28F8CD55" w14:textId="77777777" w:rsidR="00713B84" w:rsidRDefault="00713B84" w:rsidP="00045817">
            <w:pPr>
              <w:jc w:val="center"/>
            </w:pPr>
          </w:p>
        </w:tc>
      </w:tr>
      <w:tr w:rsidR="00713B84" w14:paraId="3FB3D175" w14:textId="77777777" w:rsidTr="00713B84">
        <w:tc>
          <w:tcPr>
            <w:tcW w:w="2642" w:type="dxa"/>
          </w:tcPr>
          <w:p w14:paraId="1CF8367B" w14:textId="77777777" w:rsidR="00713B84" w:rsidRDefault="00713B84" w:rsidP="00045817"/>
        </w:tc>
        <w:tc>
          <w:tcPr>
            <w:tcW w:w="2703" w:type="dxa"/>
          </w:tcPr>
          <w:p w14:paraId="794ED908" w14:textId="2452D9CD" w:rsidR="00713B84" w:rsidRDefault="00713B84" w:rsidP="00045817">
            <w:pPr>
              <w:jc w:val="center"/>
            </w:pPr>
            <w:r>
              <w:t>Gay Men</w:t>
            </w:r>
          </w:p>
        </w:tc>
        <w:tc>
          <w:tcPr>
            <w:tcW w:w="2320" w:type="dxa"/>
          </w:tcPr>
          <w:p w14:paraId="60E90BA1" w14:textId="09C1F50A" w:rsidR="00713B84" w:rsidRDefault="00045817" w:rsidP="00045817">
            <w:pPr>
              <w:jc w:val="center"/>
            </w:pPr>
            <w:r w:rsidRPr="005965B0">
              <w:rPr>
                <w:b/>
                <w:bCs/>
              </w:rPr>
              <w:t>X</w:t>
            </w:r>
          </w:p>
        </w:tc>
        <w:tc>
          <w:tcPr>
            <w:tcW w:w="2100" w:type="dxa"/>
          </w:tcPr>
          <w:p w14:paraId="0C17B9AB" w14:textId="321BA6C7" w:rsidR="00713B84" w:rsidRDefault="00713B84" w:rsidP="00045817">
            <w:pPr>
              <w:jc w:val="center"/>
            </w:pPr>
          </w:p>
        </w:tc>
        <w:tc>
          <w:tcPr>
            <w:tcW w:w="2366" w:type="dxa"/>
          </w:tcPr>
          <w:p w14:paraId="677005EA" w14:textId="6BF0B334" w:rsidR="00713B84" w:rsidRDefault="00713B84" w:rsidP="00045817">
            <w:pPr>
              <w:jc w:val="center"/>
            </w:pPr>
          </w:p>
        </w:tc>
        <w:tc>
          <w:tcPr>
            <w:tcW w:w="2429" w:type="dxa"/>
          </w:tcPr>
          <w:p w14:paraId="4F9FC776" w14:textId="77777777" w:rsidR="00713B84" w:rsidRDefault="00713B84" w:rsidP="00045817">
            <w:pPr>
              <w:jc w:val="center"/>
            </w:pPr>
          </w:p>
        </w:tc>
      </w:tr>
      <w:tr w:rsidR="00713B84" w14:paraId="54273A0F" w14:textId="77777777" w:rsidTr="00713B84">
        <w:tc>
          <w:tcPr>
            <w:tcW w:w="2642" w:type="dxa"/>
          </w:tcPr>
          <w:p w14:paraId="3993430D" w14:textId="77777777" w:rsidR="00713B84" w:rsidRDefault="00713B84" w:rsidP="00045817"/>
        </w:tc>
        <w:tc>
          <w:tcPr>
            <w:tcW w:w="2703" w:type="dxa"/>
          </w:tcPr>
          <w:p w14:paraId="6180103A" w14:textId="2E4D2B51" w:rsidR="00713B84" w:rsidRDefault="00713B84" w:rsidP="00045817">
            <w:pPr>
              <w:jc w:val="center"/>
            </w:pPr>
            <w:r>
              <w:t>Bisexual</w:t>
            </w:r>
          </w:p>
        </w:tc>
        <w:tc>
          <w:tcPr>
            <w:tcW w:w="2320" w:type="dxa"/>
          </w:tcPr>
          <w:p w14:paraId="08FB7E5B" w14:textId="4ECBAB99" w:rsidR="00713B84" w:rsidRDefault="00045817" w:rsidP="00045817">
            <w:pPr>
              <w:jc w:val="center"/>
            </w:pPr>
            <w:r w:rsidRPr="005965B0">
              <w:rPr>
                <w:b/>
                <w:bCs/>
              </w:rPr>
              <w:t>X</w:t>
            </w:r>
          </w:p>
        </w:tc>
        <w:tc>
          <w:tcPr>
            <w:tcW w:w="2100" w:type="dxa"/>
          </w:tcPr>
          <w:p w14:paraId="36C88A34" w14:textId="69D9FEDA" w:rsidR="00713B84" w:rsidRDefault="00713B84" w:rsidP="00045817">
            <w:pPr>
              <w:jc w:val="center"/>
            </w:pPr>
          </w:p>
        </w:tc>
        <w:tc>
          <w:tcPr>
            <w:tcW w:w="2366" w:type="dxa"/>
          </w:tcPr>
          <w:p w14:paraId="332B1125" w14:textId="33A75DDC" w:rsidR="00713B84" w:rsidRDefault="00713B84" w:rsidP="00045817">
            <w:pPr>
              <w:jc w:val="center"/>
            </w:pPr>
          </w:p>
        </w:tc>
        <w:tc>
          <w:tcPr>
            <w:tcW w:w="2429" w:type="dxa"/>
          </w:tcPr>
          <w:p w14:paraId="163D991A" w14:textId="77777777" w:rsidR="00713B84" w:rsidRDefault="00713B84" w:rsidP="00045817">
            <w:pPr>
              <w:jc w:val="center"/>
            </w:pPr>
          </w:p>
        </w:tc>
      </w:tr>
      <w:tr w:rsidR="00713B84" w14:paraId="1E07721A" w14:textId="77777777" w:rsidTr="00713B84">
        <w:tc>
          <w:tcPr>
            <w:tcW w:w="2642" w:type="dxa"/>
          </w:tcPr>
          <w:p w14:paraId="5A725ED7" w14:textId="4F76A7C4" w:rsidR="00713B84" w:rsidRDefault="00713B84" w:rsidP="00045817">
            <w:r>
              <w:t>Age</w:t>
            </w:r>
          </w:p>
        </w:tc>
        <w:tc>
          <w:tcPr>
            <w:tcW w:w="2703" w:type="dxa"/>
          </w:tcPr>
          <w:p w14:paraId="70AD3758" w14:textId="0A6DE403" w:rsidR="00713B84" w:rsidRDefault="00713B84" w:rsidP="00045817">
            <w:pPr>
              <w:jc w:val="center"/>
            </w:pPr>
            <w:r>
              <w:t>Older people (60+)</w:t>
            </w:r>
          </w:p>
        </w:tc>
        <w:tc>
          <w:tcPr>
            <w:tcW w:w="2320" w:type="dxa"/>
          </w:tcPr>
          <w:p w14:paraId="4031119F" w14:textId="23793CB3" w:rsidR="00713B84" w:rsidRDefault="00045817" w:rsidP="00045817">
            <w:pPr>
              <w:jc w:val="center"/>
            </w:pPr>
            <w:r w:rsidRPr="005965B0">
              <w:rPr>
                <w:b/>
                <w:bCs/>
              </w:rPr>
              <w:t>X</w:t>
            </w:r>
          </w:p>
        </w:tc>
        <w:tc>
          <w:tcPr>
            <w:tcW w:w="2100" w:type="dxa"/>
          </w:tcPr>
          <w:p w14:paraId="59653059" w14:textId="6B12D3E0" w:rsidR="00713B84" w:rsidRDefault="00713B84" w:rsidP="00045817">
            <w:pPr>
              <w:jc w:val="center"/>
            </w:pPr>
          </w:p>
        </w:tc>
        <w:tc>
          <w:tcPr>
            <w:tcW w:w="2366" w:type="dxa"/>
          </w:tcPr>
          <w:p w14:paraId="357DD4E8" w14:textId="7AD85C98" w:rsidR="00713B84" w:rsidRDefault="00713B84" w:rsidP="00045817">
            <w:pPr>
              <w:jc w:val="center"/>
            </w:pPr>
          </w:p>
        </w:tc>
        <w:tc>
          <w:tcPr>
            <w:tcW w:w="2429" w:type="dxa"/>
          </w:tcPr>
          <w:p w14:paraId="375DA172" w14:textId="77777777" w:rsidR="00713B84" w:rsidRDefault="00713B84" w:rsidP="00045817">
            <w:pPr>
              <w:jc w:val="center"/>
            </w:pPr>
          </w:p>
        </w:tc>
      </w:tr>
      <w:tr w:rsidR="00713B84" w14:paraId="0B278962" w14:textId="77777777" w:rsidTr="00713B84">
        <w:tc>
          <w:tcPr>
            <w:tcW w:w="2642" w:type="dxa"/>
          </w:tcPr>
          <w:p w14:paraId="6F08B9EC" w14:textId="77777777" w:rsidR="00713B84" w:rsidRDefault="00713B84" w:rsidP="00045817"/>
        </w:tc>
        <w:tc>
          <w:tcPr>
            <w:tcW w:w="2703" w:type="dxa"/>
          </w:tcPr>
          <w:p w14:paraId="3CD17D82" w14:textId="4C5CC924" w:rsidR="00713B84" w:rsidRDefault="00713B84" w:rsidP="00045817">
            <w:pPr>
              <w:jc w:val="center"/>
            </w:pPr>
            <w:r>
              <w:t>Younger people (18-25)</w:t>
            </w:r>
          </w:p>
        </w:tc>
        <w:tc>
          <w:tcPr>
            <w:tcW w:w="2320" w:type="dxa"/>
          </w:tcPr>
          <w:p w14:paraId="4BC8B7EC" w14:textId="33D8853E" w:rsidR="00713B84" w:rsidRDefault="00045817" w:rsidP="00045817">
            <w:pPr>
              <w:jc w:val="center"/>
            </w:pPr>
            <w:r w:rsidRPr="005965B0">
              <w:rPr>
                <w:b/>
                <w:bCs/>
              </w:rPr>
              <w:t>X</w:t>
            </w:r>
          </w:p>
        </w:tc>
        <w:tc>
          <w:tcPr>
            <w:tcW w:w="2100" w:type="dxa"/>
          </w:tcPr>
          <w:p w14:paraId="0DF9E026" w14:textId="4C571AAE" w:rsidR="00713B84" w:rsidRDefault="00713B84" w:rsidP="00045817">
            <w:pPr>
              <w:jc w:val="center"/>
            </w:pPr>
          </w:p>
        </w:tc>
        <w:tc>
          <w:tcPr>
            <w:tcW w:w="2366" w:type="dxa"/>
          </w:tcPr>
          <w:p w14:paraId="6E44AE73" w14:textId="6CAB982D" w:rsidR="00713B84" w:rsidRDefault="00713B84" w:rsidP="00045817">
            <w:pPr>
              <w:jc w:val="center"/>
            </w:pPr>
          </w:p>
        </w:tc>
        <w:tc>
          <w:tcPr>
            <w:tcW w:w="2429" w:type="dxa"/>
          </w:tcPr>
          <w:p w14:paraId="5BE56A30" w14:textId="77777777" w:rsidR="00713B84" w:rsidRDefault="00713B84" w:rsidP="00045817">
            <w:pPr>
              <w:jc w:val="center"/>
            </w:pPr>
          </w:p>
        </w:tc>
      </w:tr>
      <w:tr w:rsidR="00713B84" w14:paraId="31406D21" w14:textId="77777777" w:rsidTr="00713B84">
        <w:tc>
          <w:tcPr>
            <w:tcW w:w="2642" w:type="dxa"/>
          </w:tcPr>
          <w:p w14:paraId="13A0A3BA" w14:textId="77777777" w:rsidR="00713B84" w:rsidRDefault="00713B84" w:rsidP="00045817"/>
        </w:tc>
        <w:tc>
          <w:tcPr>
            <w:tcW w:w="2703" w:type="dxa"/>
          </w:tcPr>
          <w:p w14:paraId="14B5E014" w14:textId="687FF020" w:rsidR="00713B84" w:rsidRDefault="00713B84" w:rsidP="00045817">
            <w:pPr>
              <w:jc w:val="center"/>
            </w:pPr>
            <w:r>
              <w:t>Children (0-16)</w:t>
            </w:r>
          </w:p>
        </w:tc>
        <w:tc>
          <w:tcPr>
            <w:tcW w:w="2320" w:type="dxa"/>
          </w:tcPr>
          <w:p w14:paraId="20621A03" w14:textId="55643F5A" w:rsidR="00713B84" w:rsidRDefault="00045817" w:rsidP="00045817">
            <w:pPr>
              <w:jc w:val="center"/>
            </w:pPr>
            <w:r w:rsidRPr="005965B0">
              <w:rPr>
                <w:b/>
                <w:bCs/>
              </w:rPr>
              <w:t>X</w:t>
            </w:r>
          </w:p>
        </w:tc>
        <w:tc>
          <w:tcPr>
            <w:tcW w:w="2100" w:type="dxa"/>
          </w:tcPr>
          <w:p w14:paraId="2DDDC77C" w14:textId="44A76B0A" w:rsidR="00713B84" w:rsidRDefault="00713B84" w:rsidP="00045817">
            <w:pPr>
              <w:jc w:val="center"/>
            </w:pPr>
          </w:p>
        </w:tc>
        <w:tc>
          <w:tcPr>
            <w:tcW w:w="2366" w:type="dxa"/>
          </w:tcPr>
          <w:p w14:paraId="6E8CA826" w14:textId="5CC287BA" w:rsidR="00713B84" w:rsidRDefault="00713B84" w:rsidP="00045817">
            <w:pPr>
              <w:jc w:val="center"/>
            </w:pPr>
          </w:p>
        </w:tc>
        <w:tc>
          <w:tcPr>
            <w:tcW w:w="2429" w:type="dxa"/>
          </w:tcPr>
          <w:p w14:paraId="251BA973" w14:textId="77777777" w:rsidR="00713B84" w:rsidRDefault="00713B84" w:rsidP="00045817">
            <w:pPr>
              <w:jc w:val="center"/>
            </w:pPr>
          </w:p>
        </w:tc>
      </w:tr>
      <w:tr w:rsidR="00713B84" w14:paraId="49C72180" w14:textId="77777777" w:rsidTr="00713B84">
        <w:tc>
          <w:tcPr>
            <w:tcW w:w="2642" w:type="dxa"/>
          </w:tcPr>
          <w:p w14:paraId="371C4C2B" w14:textId="1CC28661" w:rsidR="00713B84" w:rsidRDefault="00713B84" w:rsidP="00045817">
            <w:r>
              <w:lastRenderedPageBreak/>
              <w:t>Marriage and Civil Partnership</w:t>
            </w:r>
          </w:p>
        </w:tc>
        <w:tc>
          <w:tcPr>
            <w:tcW w:w="2703" w:type="dxa"/>
          </w:tcPr>
          <w:p w14:paraId="53A2E656" w14:textId="2676D8F0" w:rsidR="00713B84" w:rsidRDefault="00713B84" w:rsidP="00045817">
            <w:pPr>
              <w:jc w:val="center"/>
            </w:pPr>
            <w:r>
              <w:t>Women</w:t>
            </w:r>
          </w:p>
        </w:tc>
        <w:tc>
          <w:tcPr>
            <w:tcW w:w="2320" w:type="dxa"/>
          </w:tcPr>
          <w:p w14:paraId="2B6B4D7B" w14:textId="627A4394" w:rsidR="00713B84" w:rsidRDefault="00045817" w:rsidP="00045817">
            <w:pPr>
              <w:jc w:val="center"/>
            </w:pPr>
            <w:r w:rsidRPr="005965B0">
              <w:rPr>
                <w:b/>
                <w:bCs/>
              </w:rPr>
              <w:t>X</w:t>
            </w:r>
          </w:p>
        </w:tc>
        <w:tc>
          <w:tcPr>
            <w:tcW w:w="2100" w:type="dxa"/>
          </w:tcPr>
          <w:p w14:paraId="75CA658C" w14:textId="65C232B3" w:rsidR="00713B84" w:rsidRDefault="00713B84" w:rsidP="00045817">
            <w:pPr>
              <w:jc w:val="center"/>
            </w:pPr>
          </w:p>
        </w:tc>
        <w:tc>
          <w:tcPr>
            <w:tcW w:w="2366" w:type="dxa"/>
          </w:tcPr>
          <w:p w14:paraId="4E883229" w14:textId="52B7F1F7" w:rsidR="00713B84" w:rsidRDefault="00713B84" w:rsidP="00045817">
            <w:pPr>
              <w:jc w:val="center"/>
            </w:pPr>
          </w:p>
        </w:tc>
        <w:tc>
          <w:tcPr>
            <w:tcW w:w="2429" w:type="dxa"/>
          </w:tcPr>
          <w:p w14:paraId="59F93DDD" w14:textId="77777777" w:rsidR="00713B84" w:rsidRDefault="00713B84" w:rsidP="00045817">
            <w:pPr>
              <w:jc w:val="center"/>
            </w:pPr>
          </w:p>
        </w:tc>
      </w:tr>
      <w:tr w:rsidR="00713B84" w14:paraId="645E5DEA" w14:textId="77777777" w:rsidTr="00713B84">
        <w:tc>
          <w:tcPr>
            <w:tcW w:w="2642" w:type="dxa"/>
          </w:tcPr>
          <w:p w14:paraId="314763CE" w14:textId="77777777" w:rsidR="00713B84" w:rsidRDefault="00713B84" w:rsidP="00045817"/>
        </w:tc>
        <w:tc>
          <w:tcPr>
            <w:tcW w:w="2703" w:type="dxa"/>
          </w:tcPr>
          <w:p w14:paraId="1ACCACD5" w14:textId="1E1D4E86" w:rsidR="00713B84" w:rsidRDefault="00713B84" w:rsidP="00045817">
            <w:pPr>
              <w:jc w:val="center"/>
            </w:pPr>
            <w:r>
              <w:t>Men</w:t>
            </w:r>
          </w:p>
        </w:tc>
        <w:tc>
          <w:tcPr>
            <w:tcW w:w="2320" w:type="dxa"/>
          </w:tcPr>
          <w:p w14:paraId="390F166F" w14:textId="7B80FDF2" w:rsidR="00713B84" w:rsidRDefault="00045817" w:rsidP="00045817">
            <w:pPr>
              <w:jc w:val="center"/>
            </w:pPr>
            <w:r w:rsidRPr="005965B0">
              <w:rPr>
                <w:b/>
                <w:bCs/>
              </w:rPr>
              <w:t>X</w:t>
            </w:r>
          </w:p>
        </w:tc>
        <w:tc>
          <w:tcPr>
            <w:tcW w:w="2100" w:type="dxa"/>
          </w:tcPr>
          <w:p w14:paraId="38E6F9EF" w14:textId="661FF596" w:rsidR="00713B84" w:rsidRDefault="00713B84" w:rsidP="00045817">
            <w:pPr>
              <w:jc w:val="center"/>
            </w:pPr>
          </w:p>
        </w:tc>
        <w:tc>
          <w:tcPr>
            <w:tcW w:w="2366" w:type="dxa"/>
          </w:tcPr>
          <w:p w14:paraId="12DC7CDD" w14:textId="17C342D1" w:rsidR="00713B84" w:rsidRDefault="00713B84" w:rsidP="00045817">
            <w:pPr>
              <w:jc w:val="center"/>
            </w:pPr>
          </w:p>
        </w:tc>
        <w:tc>
          <w:tcPr>
            <w:tcW w:w="2429" w:type="dxa"/>
          </w:tcPr>
          <w:p w14:paraId="2FAEEA46" w14:textId="77777777" w:rsidR="00713B84" w:rsidRDefault="00713B84" w:rsidP="00045817">
            <w:pPr>
              <w:jc w:val="center"/>
            </w:pPr>
          </w:p>
        </w:tc>
      </w:tr>
      <w:tr w:rsidR="00713B84" w14:paraId="327AC740" w14:textId="77777777" w:rsidTr="00713B84">
        <w:tc>
          <w:tcPr>
            <w:tcW w:w="2642" w:type="dxa"/>
          </w:tcPr>
          <w:p w14:paraId="1BEFEEA8" w14:textId="77777777" w:rsidR="00713B84" w:rsidRDefault="00713B84" w:rsidP="00045817"/>
        </w:tc>
        <w:tc>
          <w:tcPr>
            <w:tcW w:w="2703" w:type="dxa"/>
          </w:tcPr>
          <w:p w14:paraId="5EA375D4" w14:textId="2C739B97" w:rsidR="00713B84" w:rsidRDefault="00713B84" w:rsidP="00045817">
            <w:pPr>
              <w:jc w:val="center"/>
            </w:pPr>
            <w:r>
              <w:t>Lesbians</w:t>
            </w:r>
          </w:p>
        </w:tc>
        <w:tc>
          <w:tcPr>
            <w:tcW w:w="2320" w:type="dxa"/>
          </w:tcPr>
          <w:p w14:paraId="3FEC2058" w14:textId="5E1CA1D8" w:rsidR="00713B84" w:rsidRDefault="00045817" w:rsidP="00045817">
            <w:pPr>
              <w:jc w:val="center"/>
            </w:pPr>
            <w:r w:rsidRPr="005965B0">
              <w:rPr>
                <w:b/>
                <w:bCs/>
              </w:rPr>
              <w:t>X</w:t>
            </w:r>
          </w:p>
        </w:tc>
        <w:tc>
          <w:tcPr>
            <w:tcW w:w="2100" w:type="dxa"/>
          </w:tcPr>
          <w:p w14:paraId="6A2FD8D9" w14:textId="731D5F4B" w:rsidR="00713B84" w:rsidRDefault="00713B84" w:rsidP="00045817">
            <w:pPr>
              <w:jc w:val="center"/>
            </w:pPr>
          </w:p>
        </w:tc>
        <w:tc>
          <w:tcPr>
            <w:tcW w:w="2366" w:type="dxa"/>
          </w:tcPr>
          <w:p w14:paraId="60A1955A" w14:textId="4F5AD1CF" w:rsidR="00713B84" w:rsidRDefault="00713B84" w:rsidP="00045817">
            <w:pPr>
              <w:jc w:val="center"/>
            </w:pPr>
          </w:p>
        </w:tc>
        <w:tc>
          <w:tcPr>
            <w:tcW w:w="2429" w:type="dxa"/>
          </w:tcPr>
          <w:p w14:paraId="31EB7F2E" w14:textId="77777777" w:rsidR="00713B84" w:rsidRDefault="00713B84" w:rsidP="00045817">
            <w:pPr>
              <w:jc w:val="center"/>
            </w:pPr>
          </w:p>
        </w:tc>
      </w:tr>
      <w:tr w:rsidR="00713B84" w14:paraId="031C103F" w14:textId="77777777" w:rsidTr="00713B84">
        <w:tc>
          <w:tcPr>
            <w:tcW w:w="2642" w:type="dxa"/>
          </w:tcPr>
          <w:p w14:paraId="39780D56" w14:textId="40CB56DB" w:rsidR="00713B84" w:rsidRDefault="00713B84" w:rsidP="00045817">
            <w:r>
              <w:t>Pregnancy and Maternity</w:t>
            </w:r>
          </w:p>
        </w:tc>
        <w:tc>
          <w:tcPr>
            <w:tcW w:w="2703" w:type="dxa"/>
          </w:tcPr>
          <w:p w14:paraId="4DA47076" w14:textId="7F3349EE" w:rsidR="00713B84" w:rsidRDefault="00713B84" w:rsidP="00045817">
            <w:pPr>
              <w:jc w:val="center"/>
            </w:pPr>
            <w:r>
              <w:t>Women</w:t>
            </w:r>
          </w:p>
        </w:tc>
        <w:tc>
          <w:tcPr>
            <w:tcW w:w="2320" w:type="dxa"/>
          </w:tcPr>
          <w:p w14:paraId="387B3F00" w14:textId="65AA631F" w:rsidR="00713B84" w:rsidRDefault="00045817" w:rsidP="00045817">
            <w:pPr>
              <w:jc w:val="center"/>
            </w:pPr>
            <w:r w:rsidRPr="005965B0">
              <w:rPr>
                <w:b/>
                <w:bCs/>
              </w:rPr>
              <w:t>X</w:t>
            </w:r>
          </w:p>
        </w:tc>
        <w:tc>
          <w:tcPr>
            <w:tcW w:w="2100" w:type="dxa"/>
          </w:tcPr>
          <w:p w14:paraId="7021C4F5" w14:textId="48DDBE5A" w:rsidR="00713B84" w:rsidRDefault="00713B84" w:rsidP="00045817">
            <w:pPr>
              <w:jc w:val="center"/>
            </w:pPr>
          </w:p>
        </w:tc>
        <w:tc>
          <w:tcPr>
            <w:tcW w:w="2366" w:type="dxa"/>
          </w:tcPr>
          <w:p w14:paraId="6B2CBE8F" w14:textId="18BB9A79" w:rsidR="00713B84" w:rsidRDefault="00713B84" w:rsidP="00045817">
            <w:pPr>
              <w:jc w:val="center"/>
            </w:pPr>
          </w:p>
        </w:tc>
        <w:tc>
          <w:tcPr>
            <w:tcW w:w="2429" w:type="dxa"/>
          </w:tcPr>
          <w:p w14:paraId="2E9772CE" w14:textId="77777777" w:rsidR="00713B84" w:rsidRDefault="00713B84" w:rsidP="00045817">
            <w:pPr>
              <w:jc w:val="center"/>
            </w:pPr>
          </w:p>
        </w:tc>
      </w:tr>
      <w:tr w:rsidR="00713B84" w14:paraId="6DDC4ED1" w14:textId="77777777" w:rsidTr="00713B84">
        <w:tc>
          <w:tcPr>
            <w:tcW w:w="2642" w:type="dxa"/>
          </w:tcPr>
          <w:p w14:paraId="684760E8" w14:textId="0B27846D" w:rsidR="00713B84" w:rsidRDefault="00713B84" w:rsidP="00045817">
            <w:r>
              <w:t>Religion and belief</w:t>
            </w:r>
          </w:p>
        </w:tc>
        <w:tc>
          <w:tcPr>
            <w:tcW w:w="2703" w:type="dxa"/>
          </w:tcPr>
          <w:p w14:paraId="155D9C8B" w14:textId="2F4201C9" w:rsidR="00713B84" w:rsidRDefault="00713B84" w:rsidP="00045817">
            <w:pPr>
              <w:jc w:val="center"/>
            </w:pPr>
            <w:r>
              <w:t>See below</w:t>
            </w:r>
          </w:p>
        </w:tc>
        <w:tc>
          <w:tcPr>
            <w:tcW w:w="2320" w:type="dxa"/>
          </w:tcPr>
          <w:p w14:paraId="434B486D" w14:textId="46E0E575" w:rsidR="00713B84" w:rsidRDefault="005A0D63" w:rsidP="00045817">
            <w:pPr>
              <w:jc w:val="center"/>
            </w:pPr>
            <w:r w:rsidRPr="005965B0">
              <w:rPr>
                <w:b/>
                <w:bCs/>
              </w:rPr>
              <w:t>X</w:t>
            </w:r>
          </w:p>
        </w:tc>
        <w:tc>
          <w:tcPr>
            <w:tcW w:w="2100" w:type="dxa"/>
          </w:tcPr>
          <w:p w14:paraId="64107008" w14:textId="7DDC5124" w:rsidR="00713B84" w:rsidRDefault="00713B84" w:rsidP="00045817">
            <w:pPr>
              <w:jc w:val="center"/>
            </w:pPr>
          </w:p>
        </w:tc>
        <w:tc>
          <w:tcPr>
            <w:tcW w:w="2366" w:type="dxa"/>
          </w:tcPr>
          <w:p w14:paraId="3A2665D3" w14:textId="124E61F3" w:rsidR="00713B84" w:rsidRDefault="00713B84" w:rsidP="00045817">
            <w:pPr>
              <w:jc w:val="center"/>
            </w:pPr>
          </w:p>
        </w:tc>
        <w:tc>
          <w:tcPr>
            <w:tcW w:w="2429" w:type="dxa"/>
          </w:tcPr>
          <w:p w14:paraId="6E1D1C87" w14:textId="77777777" w:rsidR="00713B84" w:rsidRDefault="00713B84" w:rsidP="00045817">
            <w:pPr>
              <w:jc w:val="center"/>
            </w:pPr>
          </w:p>
        </w:tc>
      </w:tr>
    </w:tbl>
    <w:p w14:paraId="347F4767" w14:textId="77777777" w:rsidR="00236930" w:rsidRDefault="00236930" w:rsidP="00045817">
      <w:pPr>
        <w:jc w:val="center"/>
      </w:pPr>
    </w:p>
    <w:p w14:paraId="1FF39D06" w14:textId="77777777" w:rsidR="00713B84" w:rsidRDefault="00713B84" w:rsidP="00045817">
      <w:pPr>
        <w:jc w:val="center"/>
      </w:pPr>
    </w:p>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045817">
            <w:bookmarkStart w:id="4" w:name="_Hlk179815200"/>
            <w:r>
              <w:t>Summary of Protected Characteristics most impacted</w:t>
            </w:r>
          </w:p>
          <w:p w14:paraId="090F6B66" w14:textId="2E89141C" w:rsidR="00236930" w:rsidRDefault="00236930" w:rsidP="00045817"/>
        </w:tc>
        <w:tc>
          <w:tcPr>
            <w:tcW w:w="10490" w:type="dxa"/>
          </w:tcPr>
          <w:p w14:paraId="642FF37D" w14:textId="77777777" w:rsidR="00236930" w:rsidRDefault="005A0D63" w:rsidP="005A0D63">
            <w:r>
              <w:t>All polices, procedures and practices have the potential to cause either a positive, neutral or negative impact on different groups in the community, on the grounds of any protected characteristic.</w:t>
            </w:r>
          </w:p>
          <w:p w14:paraId="06972870" w14:textId="77777777" w:rsidR="005A0D63" w:rsidRDefault="005A0D63" w:rsidP="005A0D63"/>
          <w:p w14:paraId="2F97E5CC" w14:textId="111BE1DB" w:rsidR="005A0D63" w:rsidRDefault="005A0D63" w:rsidP="005A0D63">
            <w:r>
              <w:t xml:space="preserve">Our Equality policy </w:t>
            </w:r>
          </w:p>
        </w:tc>
      </w:tr>
      <w:tr w:rsidR="00236930" w14:paraId="15BB4207" w14:textId="77777777" w:rsidTr="00484FE3">
        <w:tc>
          <w:tcPr>
            <w:tcW w:w="4106" w:type="dxa"/>
            <w:shd w:val="clear" w:color="auto" w:fill="E7E6E6" w:themeFill="background2"/>
          </w:tcPr>
          <w:p w14:paraId="25BCCE09" w14:textId="77777777" w:rsidR="00236930" w:rsidRDefault="00236930" w:rsidP="00045817">
            <w:r>
              <w:t>Summary of Socio-Economic impacts</w:t>
            </w:r>
          </w:p>
          <w:p w14:paraId="4749FDAD" w14:textId="6CFD8594" w:rsidR="00236930" w:rsidRDefault="00236930" w:rsidP="00045817"/>
        </w:tc>
        <w:tc>
          <w:tcPr>
            <w:tcW w:w="10490" w:type="dxa"/>
          </w:tcPr>
          <w:p w14:paraId="7C95B12F" w14:textId="78E378BB" w:rsidR="00236930" w:rsidRDefault="00FD7542" w:rsidP="005A0D63">
            <w:r>
              <w:t>As Fenland District Council has the areas of highest deprivation in Cambridgeshire there is the potential to have major impact on all groups especially in the seven out of the ten most deprived wards in Cambridgeshire in Wisbech.</w:t>
            </w:r>
          </w:p>
        </w:tc>
      </w:tr>
      <w:tr w:rsidR="00236930" w14:paraId="3F56348C" w14:textId="77777777" w:rsidTr="00484FE3">
        <w:tc>
          <w:tcPr>
            <w:tcW w:w="4106" w:type="dxa"/>
            <w:shd w:val="clear" w:color="auto" w:fill="E7E6E6" w:themeFill="background2"/>
          </w:tcPr>
          <w:p w14:paraId="3D4580B7" w14:textId="77777777" w:rsidR="00236930" w:rsidRDefault="00236930" w:rsidP="00045817">
            <w:r>
              <w:t>Summary of Human Rights impacts</w:t>
            </w:r>
          </w:p>
          <w:p w14:paraId="5AB4F18D" w14:textId="77777777" w:rsidR="00236930" w:rsidRDefault="00236930" w:rsidP="00045817"/>
          <w:p w14:paraId="4BE0B406" w14:textId="64BCC6C4" w:rsidR="00236930" w:rsidRDefault="00236930" w:rsidP="00045817"/>
        </w:tc>
        <w:tc>
          <w:tcPr>
            <w:tcW w:w="10490" w:type="dxa"/>
          </w:tcPr>
          <w:p w14:paraId="06672DD7" w14:textId="2863761F" w:rsidR="00236930" w:rsidRDefault="00FD7542" w:rsidP="005A0D63">
            <w:r>
              <w:t>Human Rights impacts considered in all Equality Impact Assessments</w:t>
            </w:r>
          </w:p>
        </w:tc>
      </w:tr>
      <w:tr w:rsidR="00713B84" w14:paraId="355043AE" w14:textId="77777777" w:rsidTr="00484FE3">
        <w:tc>
          <w:tcPr>
            <w:tcW w:w="4106" w:type="dxa"/>
            <w:shd w:val="clear" w:color="auto" w:fill="E7E6E6" w:themeFill="background2"/>
          </w:tcPr>
          <w:p w14:paraId="58022DBB" w14:textId="70B84EE6" w:rsidR="00713B84" w:rsidRDefault="00713B84" w:rsidP="00045817">
            <w:pPr>
              <w:jc w:val="center"/>
            </w:pPr>
            <w:r>
              <w:t>Summary Explanation of the scoring against the protected characteristics</w:t>
            </w:r>
          </w:p>
          <w:p w14:paraId="6D07C8BF" w14:textId="77777777" w:rsidR="00713B84" w:rsidRDefault="00713B84" w:rsidP="00045817">
            <w:pPr>
              <w:jc w:val="center"/>
            </w:pPr>
          </w:p>
        </w:tc>
        <w:tc>
          <w:tcPr>
            <w:tcW w:w="10490" w:type="dxa"/>
          </w:tcPr>
          <w:p w14:paraId="42081F8F" w14:textId="77777777" w:rsidR="002A1955" w:rsidRDefault="00FD7542" w:rsidP="005A0D63">
            <w:r>
              <w:t xml:space="preserve">Our policies, procedures and practices have the potential to cause a positive or negative impact on different groups in the community, on the grounds of any of the protected characteristics.  </w:t>
            </w:r>
            <w:r w:rsidR="003D2798">
              <w:t>We therefore explain in our Equality Impact Assessments.</w:t>
            </w:r>
          </w:p>
          <w:p w14:paraId="0EC76524" w14:textId="77777777" w:rsidR="003D2798" w:rsidRDefault="003D2798" w:rsidP="005A0D63"/>
          <w:p w14:paraId="45A621AC" w14:textId="77777777" w:rsidR="003D2798" w:rsidRDefault="003D2798" w:rsidP="003D2798">
            <w:pPr>
              <w:pStyle w:val="ListParagraph"/>
              <w:numPr>
                <w:ilvl w:val="0"/>
                <w:numId w:val="30"/>
              </w:numPr>
            </w:pPr>
            <w:r>
              <w:t>What we already know about the equality impact and or need.</w:t>
            </w:r>
          </w:p>
          <w:p w14:paraId="0B9D063B" w14:textId="77777777" w:rsidR="003D2798" w:rsidRDefault="003D2798" w:rsidP="003D2798">
            <w:pPr>
              <w:pStyle w:val="ListParagraph"/>
              <w:numPr>
                <w:ilvl w:val="0"/>
                <w:numId w:val="30"/>
              </w:numPr>
            </w:pPr>
            <w:r>
              <w:t>Is there any evidence of a higher or lower take-up by particular groups.</w:t>
            </w:r>
          </w:p>
          <w:p w14:paraId="187BC5E1" w14:textId="77777777" w:rsidR="003D2798" w:rsidRDefault="003D2798" w:rsidP="003D2798">
            <w:pPr>
              <w:pStyle w:val="ListParagraph"/>
              <w:numPr>
                <w:ilvl w:val="0"/>
                <w:numId w:val="30"/>
              </w:numPr>
            </w:pPr>
            <w:r>
              <w:t>Is there any evidence that there is a higher or lower take up by particular groups.</w:t>
            </w:r>
          </w:p>
          <w:p w14:paraId="131724EB" w14:textId="77777777" w:rsidR="003D2798" w:rsidRDefault="003D2798" w:rsidP="003D2798">
            <w:pPr>
              <w:pStyle w:val="ListParagraph"/>
              <w:numPr>
                <w:ilvl w:val="0"/>
                <w:numId w:val="30"/>
              </w:numPr>
            </w:pPr>
            <w:r>
              <w:t>Have there been any demographic changes or trends locally.</w:t>
            </w:r>
          </w:p>
          <w:p w14:paraId="5EAD317C" w14:textId="4ABBA8A9" w:rsidR="003D2798" w:rsidRDefault="003D2798" w:rsidP="003D2798">
            <w:pPr>
              <w:pStyle w:val="ListParagraph"/>
              <w:numPr>
                <w:ilvl w:val="0"/>
                <w:numId w:val="30"/>
              </w:numPr>
            </w:pPr>
            <w:r>
              <w:t>Are there any barriers to accessing the policy outcomes or service.</w:t>
            </w:r>
          </w:p>
        </w:tc>
      </w:tr>
      <w:bookmarkEnd w:id="4"/>
    </w:tbl>
    <w:p w14:paraId="0CAA488B" w14:textId="77777777" w:rsidR="00F85A90" w:rsidRDefault="00F85A90" w:rsidP="00045817">
      <w:pPr>
        <w:jc w:val="center"/>
      </w:pPr>
    </w:p>
    <w:p w14:paraId="504200C4" w14:textId="77777777" w:rsidR="00F85A90" w:rsidRDefault="00F85A90">
      <w:r>
        <w:lastRenderedPageBreak/>
        <w:br w:type="page"/>
      </w:r>
    </w:p>
    <w:p w14:paraId="0C2E55FB" w14:textId="77777777" w:rsidR="00F85A90" w:rsidRDefault="00F85A90" w:rsidP="00F85A90">
      <w:pPr>
        <w:pStyle w:val="Heading2"/>
      </w:pPr>
      <w:bookmarkStart w:id="5" w:name="_Toc167112759"/>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4D8A71F1" w14:textId="77777777" w:rsidR="006641B7" w:rsidRDefault="006641B7" w:rsidP="00383B0B">
            <w:pPr>
              <w:rPr>
                <w:b/>
                <w:bCs/>
                <w:sz w:val="22"/>
              </w:rPr>
            </w:pPr>
          </w:p>
          <w:p w14:paraId="297DE1AC" w14:textId="089962E4" w:rsidR="006641B7" w:rsidRDefault="006641B7" w:rsidP="00383B0B">
            <w:pPr>
              <w:rPr>
                <w:sz w:val="22"/>
              </w:rPr>
            </w:pPr>
            <w:r w:rsidRPr="006641B7">
              <w:rPr>
                <w:sz w:val="22"/>
              </w:rPr>
              <w:t xml:space="preserve">The Council is already doing a </w:t>
            </w:r>
            <w:r>
              <w:rPr>
                <w:sz w:val="22"/>
              </w:rPr>
              <w:t xml:space="preserve">number of things to meet our equality duty, identified through completed equality impact assessments and </w:t>
            </w:r>
            <w:r w:rsidR="00E3622B">
              <w:rPr>
                <w:sz w:val="22"/>
              </w:rPr>
              <w:t>disability access audits.</w:t>
            </w:r>
          </w:p>
          <w:p w14:paraId="0E229FC2" w14:textId="77777777" w:rsidR="00E3622B" w:rsidRDefault="00E3622B" w:rsidP="00383B0B">
            <w:pPr>
              <w:rPr>
                <w:sz w:val="22"/>
              </w:rPr>
            </w:pPr>
          </w:p>
          <w:p w14:paraId="773BFE27" w14:textId="17C5A747" w:rsidR="00E3622B" w:rsidRDefault="00E3622B" w:rsidP="00E3622B">
            <w:pPr>
              <w:pStyle w:val="ListParagraph"/>
              <w:numPr>
                <w:ilvl w:val="0"/>
                <w:numId w:val="31"/>
              </w:numPr>
              <w:rPr>
                <w:sz w:val="22"/>
              </w:rPr>
            </w:pPr>
            <w:r>
              <w:rPr>
                <w:sz w:val="22"/>
              </w:rPr>
              <w:t>Providing accessible buildings and sites through dedicated disabled parking bays, ramps at entrances/ exits, accessible toilets, a hearing loop for people who are hearing impaired and accessible lifts.</w:t>
            </w:r>
          </w:p>
          <w:p w14:paraId="1CF074F6" w14:textId="09520494" w:rsidR="00E3622B" w:rsidRDefault="00E3622B" w:rsidP="00E3622B">
            <w:pPr>
              <w:pStyle w:val="ListParagraph"/>
              <w:numPr>
                <w:ilvl w:val="0"/>
                <w:numId w:val="31"/>
              </w:numPr>
              <w:rPr>
                <w:sz w:val="22"/>
              </w:rPr>
            </w:pPr>
            <w:r>
              <w:rPr>
                <w:sz w:val="22"/>
              </w:rPr>
              <w:t>Working alongside our sports development team and Leisure centres to support opportunities for people with disabilities and special needs, so that everyone regardless of disability or additional needs, so that everybody, regardless of disability or additional needs, can access sports and physical activity suitable to their needs.</w:t>
            </w:r>
          </w:p>
          <w:p w14:paraId="4DFF324E" w14:textId="17BC0DA1" w:rsidR="00E3622B" w:rsidRDefault="00E3622B" w:rsidP="00E3622B">
            <w:pPr>
              <w:pStyle w:val="ListParagraph"/>
              <w:numPr>
                <w:ilvl w:val="0"/>
                <w:numId w:val="31"/>
              </w:numPr>
              <w:rPr>
                <w:sz w:val="22"/>
              </w:rPr>
            </w:pPr>
            <w:r>
              <w:rPr>
                <w:sz w:val="22"/>
              </w:rPr>
              <w:t>Providing a range of leisure activities for all age groups.</w:t>
            </w:r>
          </w:p>
          <w:p w14:paraId="1E3A0255" w14:textId="636233B4" w:rsidR="00E3622B" w:rsidRDefault="00E3622B" w:rsidP="00E3622B">
            <w:pPr>
              <w:pStyle w:val="ListParagraph"/>
              <w:numPr>
                <w:ilvl w:val="0"/>
                <w:numId w:val="31"/>
              </w:numPr>
              <w:rPr>
                <w:sz w:val="22"/>
              </w:rPr>
            </w:pPr>
            <w:r>
              <w:rPr>
                <w:sz w:val="22"/>
              </w:rPr>
              <w:t>Promoting consultation and engagement through the Council’s communications and community team.</w:t>
            </w:r>
          </w:p>
          <w:p w14:paraId="78834560" w14:textId="643495DE" w:rsidR="00E3622B" w:rsidRDefault="00E3622B" w:rsidP="00E3622B">
            <w:pPr>
              <w:pStyle w:val="ListParagraph"/>
              <w:numPr>
                <w:ilvl w:val="0"/>
                <w:numId w:val="31"/>
              </w:numPr>
              <w:rPr>
                <w:sz w:val="22"/>
              </w:rPr>
            </w:pPr>
            <w:r>
              <w:rPr>
                <w:sz w:val="22"/>
              </w:rPr>
              <w:t>Providing translation services if and interpretation and/ or written translation is needed in another language, or an alternative format, i.e. Audio, Braille, Large Print and/ or community languages.</w:t>
            </w:r>
          </w:p>
          <w:p w14:paraId="011F47BD" w14:textId="7FADCB64" w:rsidR="00E3622B" w:rsidRDefault="00E3622B" w:rsidP="00E3622B">
            <w:pPr>
              <w:pStyle w:val="ListParagraph"/>
              <w:numPr>
                <w:ilvl w:val="0"/>
                <w:numId w:val="31"/>
              </w:numPr>
              <w:rPr>
                <w:sz w:val="22"/>
              </w:rPr>
            </w:pPr>
            <w:r>
              <w:rPr>
                <w:sz w:val="22"/>
              </w:rPr>
              <w:t xml:space="preserve">Supporting the County wide Cambridgeshire Equality </w:t>
            </w:r>
            <w:r w:rsidR="003B37A8">
              <w:rPr>
                <w:sz w:val="22"/>
              </w:rPr>
              <w:t>Pledge</w:t>
            </w:r>
            <w:r>
              <w:rPr>
                <w:sz w:val="22"/>
              </w:rPr>
              <w:t xml:space="preserve"> with our partners.</w:t>
            </w:r>
          </w:p>
          <w:p w14:paraId="750D9833" w14:textId="3D261949" w:rsidR="00E3622B" w:rsidRDefault="00E3622B" w:rsidP="00E3622B">
            <w:pPr>
              <w:pStyle w:val="ListParagraph"/>
              <w:numPr>
                <w:ilvl w:val="0"/>
                <w:numId w:val="31"/>
              </w:numPr>
              <w:rPr>
                <w:sz w:val="22"/>
              </w:rPr>
            </w:pPr>
            <w:r>
              <w:rPr>
                <w:sz w:val="22"/>
              </w:rPr>
              <w:t xml:space="preserve">Providing assisted collections to residents that are unable </w:t>
            </w:r>
            <w:r w:rsidR="003B37A8">
              <w:rPr>
                <w:sz w:val="22"/>
              </w:rPr>
              <w:t>to put out their waste and recycling because of a long-term illness/ disability.</w:t>
            </w:r>
          </w:p>
          <w:p w14:paraId="5C40323E" w14:textId="05200A47" w:rsidR="003B37A8" w:rsidRDefault="003B37A8" w:rsidP="00E3622B">
            <w:pPr>
              <w:pStyle w:val="ListParagraph"/>
              <w:numPr>
                <w:ilvl w:val="0"/>
                <w:numId w:val="31"/>
              </w:numPr>
              <w:rPr>
                <w:sz w:val="22"/>
              </w:rPr>
            </w:pPr>
            <w:r>
              <w:rPr>
                <w:sz w:val="22"/>
              </w:rPr>
              <w:t>Providing a clinical waste collection service to collect and dispose of this type of waste.</w:t>
            </w:r>
          </w:p>
          <w:p w14:paraId="0BB82CBE" w14:textId="525342C4" w:rsidR="003B37A8" w:rsidRDefault="003B37A8" w:rsidP="00E3622B">
            <w:pPr>
              <w:pStyle w:val="ListParagraph"/>
              <w:numPr>
                <w:ilvl w:val="0"/>
                <w:numId w:val="31"/>
              </w:numPr>
              <w:rPr>
                <w:sz w:val="22"/>
              </w:rPr>
            </w:pPr>
            <w:proofErr w:type="gramStart"/>
            <w:r>
              <w:rPr>
                <w:sz w:val="22"/>
              </w:rPr>
              <w:t>Offering assistance to</w:t>
            </w:r>
            <w:proofErr w:type="gramEnd"/>
            <w:r>
              <w:rPr>
                <w:sz w:val="22"/>
              </w:rPr>
              <w:t xml:space="preserve"> residents for Disabled Adaptions to enable people to continue living independently at their own homes.</w:t>
            </w:r>
          </w:p>
          <w:p w14:paraId="166CE4C0" w14:textId="28BE94A7" w:rsidR="003B37A8" w:rsidRDefault="003B37A8" w:rsidP="00E3622B">
            <w:pPr>
              <w:pStyle w:val="ListParagraph"/>
              <w:numPr>
                <w:ilvl w:val="0"/>
                <w:numId w:val="31"/>
              </w:numPr>
              <w:rPr>
                <w:sz w:val="22"/>
              </w:rPr>
            </w:pPr>
            <w:r>
              <w:rPr>
                <w:sz w:val="22"/>
              </w:rPr>
              <w:t xml:space="preserve">Supporting and encouraging increased reporting of Hate Crimes at Community Hubs and outreach workers at locations where the victims feel both safe and comfortable to do so.  Our </w:t>
            </w:r>
            <w:proofErr w:type="gramStart"/>
            <w:r>
              <w:rPr>
                <w:sz w:val="22"/>
              </w:rPr>
              <w:t>Third party</w:t>
            </w:r>
            <w:proofErr w:type="gramEnd"/>
            <w:r>
              <w:rPr>
                <w:sz w:val="22"/>
              </w:rPr>
              <w:t xml:space="preserve"> reporting centre and other staff receive both support and ongoing refresher training.</w:t>
            </w:r>
          </w:p>
          <w:p w14:paraId="12E9E78B" w14:textId="77777777" w:rsidR="00AE10F8" w:rsidRDefault="003B37A8" w:rsidP="00AE10F8">
            <w:pPr>
              <w:pStyle w:val="ListParagraph"/>
              <w:numPr>
                <w:ilvl w:val="0"/>
                <w:numId w:val="31"/>
              </w:numPr>
              <w:rPr>
                <w:sz w:val="22"/>
              </w:rPr>
            </w:pPr>
            <w:r>
              <w:rPr>
                <w:sz w:val="22"/>
              </w:rPr>
              <w:t>Providing “Safety Zone” training to school age young people, this will provide these people with the skill sets to be safe in the community.</w:t>
            </w:r>
            <w:r w:rsidR="00AE10F8">
              <w:rPr>
                <w:sz w:val="22"/>
              </w:rPr>
              <w:t xml:space="preserve"> This includes information regarding Radicalisation, Hate Crimes, Modern Day Slavery, Cyber Crimes, Scams, Neglect and Abuse, Exploitation, Abuse, and Health Care.</w:t>
            </w:r>
          </w:p>
          <w:p w14:paraId="2EE73C00" w14:textId="742036F9" w:rsidR="003B37A8" w:rsidRPr="00AE10F8" w:rsidRDefault="00AE10F8" w:rsidP="00AE10F8">
            <w:pPr>
              <w:pStyle w:val="ListParagraph"/>
              <w:rPr>
                <w:sz w:val="22"/>
              </w:rPr>
            </w:pPr>
            <w:r w:rsidRPr="00AE10F8">
              <w:rPr>
                <w:sz w:val="22"/>
              </w:rPr>
              <w:lastRenderedPageBreak/>
              <w:t xml:space="preserve"> </w:t>
            </w:r>
          </w:p>
          <w:p w14:paraId="5CCE38B5" w14:textId="1CED0308" w:rsidR="003B37A8" w:rsidRDefault="003B37A8" w:rsidP="00E3622B">
            <w:pPr>
              <w:pStyle w:val="ListParagraph"/>
              <w:numPr>
                <w:ilvl w:val="0"/>
                <w:numId w:val="31"/>
              </w:numPr>
              <w:rPr>
                <w:sz w:val="22"/>
              </w:rPr>
            </w:pPr>
            <w:r>
              <w:rPr>
                <w:sz w:val="22"/>
              </w:rPr>
              <w:t>Providing “Golden Age” fairs to people aged over 60, to enable people to know what services they can access, enable them to do this and provide ongoing support through partner agencies.</w:t>
            </w:r>
          </w:p>
          <w:p w14:paraId="6D5E0CFD" w14:textId="45D955DD" w:rsidR="003B37A8" w:rsidRDefault="00AE10F8" w:rsidP="00E3622B">
            <w:pPr>
              <w:pStyle w:val="ListParagraph"/>
              <w:numPr>
                <w:ilvl w:val="0"/>
                <w:numId w:val="31"/>
              </w:numPr>
              <w:rPr>
                <w:sz w:val="22"/>
              </w:rPr>
            </w:pPr>
            <w:r>
              <w:rPr>
                <w:sz w:val="22"/>
              </w:rPr>
              <w:t>Providing advice and support for men and women affected by domestic violence, including access to a hostel and domestic abuse outreach sessions and contact details of organisations that can help individuals affected by this or those who are supporting people who are affected by domestic violence.</w:t>
            </w:r>
          </w:p>
          <w:p w14:paraId="01AABCD7" w14:textId="194C5381" w:rsidR="00AE10F8" w:rsidRDefault="00AE10F8" w:rsidP="00E3622B">
            <w:pPr>
              <w:pStyle w:val="ListParagraph"/>
              <w:numPr>
                <w:ilvl w:val="0"/>
                <w:numId w:val="31"/>
              </w:numPr>
              <w:rPr>
                <w:sz w:val="22"/>
              </w:rPr>
            </w:pPr>
            <w:r>
              <w:rPr>
                <w:sz w:val="22"/>
              </w:rPr>
              <w:t xml:space="preserve">Providing support via our community hubs and Rural Citizens Advice Bureau outreach workers who </w:t>
            </w:r>
            <w:proofErr w:type="gramStart"/>
            <w:r>
              <w:rPr>
                <w:sz w:val="22"/>
              </w:rPr>
              <w:t>provide assistance</w:t>
            </w:r>
            <w:proofErr w:type="gramEnd"/>
            <w:r>
              <w:rPr>
                <w:sz w:val="22"/>
              </w:rPr>
              <w:t xml:space="preserve"> at their offices, outreach centres and food banks.</w:t>
            </w:r>
          </w:p>
          <w:p w14:paraId="3F617C6E" w14:textId="77777777" w:rsidR="008C0E31" w:rsidRDefault="00AE10F8" w:rsidP="00E3622B">
            <w:pPr>
              <w:pStyle w:val="ListParagraph"/>
              <w:numPr>
                <w:ilvl w:val="0"/>
                <w:numId w:val="31"/>
              </w:numPr>
              <w:rPr>
                <w:sz w:val="22"/>
              </w:rPr>
            </w:pPr>
            <w:r>
              <w:rPr>
                <w:sz w:val="22"/>
              </w:rPr>
              <w:t xml:space="preserve">Providing a booklet for migrant workers and refugee/ asylum seekers to explain to people who are moving to the district from across the world to live and work.  Migrants can experience a number of different issues, and </w:t>
            </w:r>
            <w:r w:rsidR="008C0E31">
              <w:rPr>
                <w:sz w:val="22"/>
              </w:rPr>
              <w:t xml:space="preserve">they </w:t>
            </w:r>
            <w:r>
              <w:rPr>
                <w:sz w:val="22"/>
              </w:rPr>
              <w:t>need to know both their rights and responsibilities of</w:t>
            </w:r>
            <w:r w:rsidR="008C0E31">
              <w:rPr>
                <w:sz w:val="22"/>
              </w:rPr>
              <w:t xml:space="preserve"> living in the UK.</w:t>
            </w:r>
          </w:p>
          <w:p w14:paraId="659D3255" w14:textId="215B3B5C" w:rsidR="008C0E31" w:rsidRDefault="008C0E31" w:rsidP="00E3622B">
            <w:pPr>
              <w:pStyle w:val="ListParagraph"/>
              <w:numPr>
                <w:ilvl w:val="0"/>
                <w:numId w:val="31"/>
              </w:numPr>
              <w:rPr>
                <w:sz w:val="22"/>
              </w:rPr>
            </w:pPr>
            <w:r>
              <w:rPr>
                <w:sz w:val="22"/>
              </w:rPr>
              <w:t>Providing support to Gypsy Roma Travellers who have trouble in accessing services due to literacy and numeracy issues.</w:t>
            </w:r>
          </w:p>
          <w:p w14:paraId="1B08B1F2" w14:textId="77777777" w:rsidR="008C0E31" w:rsidRDefault="008C0E31" w:rsidP="00E3622B">
            <w:pPr>
              <w:pStyle w:val="ListParagraph"/>
              <w:numPr>
                <w:ilvl w:val="0"/>
                <w:numId w:val="31"/>
              </w:numPr>
              <w:rPr>
                <w:sz w:val="22"/>
              </w:rPr>
            </w:pPr>
            <w:r>
              <w:rPr>
                <w:sz w:val="22"/>
              </w:rPr>
              <w:t>Providing confidence building courses to vulnerable people to enable them to build the confidence to enter learning/ education and become job ready.</w:t>
            </w:r>
          </w:p>
          <w:p w14:paraId="55A968F4" w14:textId="3BFD5C00" w:rsidR="00AE10F8" w:rsidRPr="00E3622B" w:rsidRDefault="008C0E31" w:rsidP="00E3622B">
            <w:pPr>
              <w:pStyle w:val="ListParagraph"/>
              <w:numPr>
                <w:ilvl w:val="0"/>
                <w:numId w:val="31"/>
              </w:numPr>
              <w:rPr>
                <w:sz w:val="22"/>
              </w:rPr>
            </w:pPr>
            <w:r>
              <w:rPr>
                <w:sz w:val="22"/>
              </w:rPr>
              <w:t>Provide a range of basic and accredited ESOL courses.</w:t>
            </w:r>
            <w:r w:rsidR="00AE10F8">
              <w:rPr>
                <w:sz w:val="22"/>
              </w:rPr>
              <w:t xml:space="preserve"> </w:t>
            </w:r>
          </w:p>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t>Arrangements for Monitoring</w:t>
            </w:r>
          </w:p>
          <w:p w14:paraId="1ABD2FB3" w14:textId="77777777" w:rsidR="00AE6E4F" w:rsidRDefault="00AE6E4F" w:rsidP="00E26E15"/>
        </w:tc>
        <w:tc>
          <w:tcPr>
            <w:tcW w:w="10490" w:type="dxa"/>
          </w:tcPr>
          <w:p w14:paraId="1914139F" w14:textId="39802AFB" w:rsidR="00AE6E4F" w:rsidRPr="008C0E31" w:rsidRDefault="008C0E31" w:rsidP="00AE6E4F">
            <w:pPr>
              <w:rPr>
                <w:rFonts w:eastAsia="Times New Roman" w:cs="Times New Roman"/>
                <w:bCs/>
                <w:kern w:val="0"/>
                <w:sz w:val="22"/>
                <w:lang w:val="en-US"/>
                <w14:ligatures w14:val="none"/>
              </w:rPr>
            </w:pPr>
            <w:r w:rsidRPr="008C0E31">
              <w:rPr>
                <w:rFonts w:eastAsia="Times New Roman" w:cs="Times New Roman"/>
                <w:bCs/>
                <w:kern w:val="0"/>
                <w:sz w:val="22"/>
                <w:lang w:val="en-US"/>
                <w14:ligatures w14:val="none"/>
              </w:rPr>
              <w:t xml:space="preserve">Feedback from </w:t>
            </w:r>
            <w:r>
              <w:rPr>
                <w:rFonts w:eastAsia="Times New Roman" w:cs="Times New Roman"/>
                <w:bCs/>
                <w:kern w:val="0"/>
                <w:sz w:val="22"/>
                <w:lang w:val="en-US"/>
                <w14:ligatures w14:val="none"/>
              </w:rPr>
              <w:t>Equality Service Champions, HR, Councils 3C’s process, community team, Outreach Workers, Community Hubs, Partner Agencies</w:t>
            </w:r>
          </w:p>
          <w:p w14:paraId="66DBB4A0" w14:textId="77777777" w:rsidR="00AE6E4F" w:rsidRDefault="00AE6E4F" w:rsidP="00EE0E55"/>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5EE1D66" w14:textId="2571D62F" w:rsidR="00AE6E4F" w:rsidRDefault="00AE6E4F" w:rsidP="00AE6E4F">
            <w:pPr>
              <w:rPr>
                <w:rFonts w:eastAsia="Times New Roman" w:cs="Times New Roman"/>
                <w:kern w:val="0"/>
                <w:sz w:val="22"/>
                <w:lang w:val="en-US"/>
                <w14:ligatures w14:val="none"/>
              </w:rPr>
            </w:pPr>
          </w:p>
          <w:p w14:paraId="6426ED7B" w14:textId="6B77CDD4" w:rsidR="00AE6E4F" w:rsidRPr="00AE6E4F" w:rsidRDefault="008C0E31" w:rsidP="00AE6E4F">
            <w:pPr>
              <w:rPr>
                <w:rFonts w:eastAsia="Times New Roman" w:cs="Times New Roman"/>
                <w:kern w:val="0"/>
                <w:sz w:val="22"/>
                <w:lang w:val="en-US"/>
                <w14:ligatures w14:val="none"/>
              </w:rPr>
            </w:pPr>
            <w:r>
              <w:rPr>
                <w:rFonts w:eastAsia="Times New Roman" w:cs="Times New Roman"/>
                <w:kern w:val="0"/>
                <w:sz w:val="22"/>
                <w:lang w:val="en-US"/>
                <w14:ligatures w14:val="none"/>
              </w:rPr>
              <w:t>To sync. With the development of the refreshed Equality Policy.</w:t>
            </w: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7ADB6F69" w14:textId="507E7FF6" w:rsidR="00AE6E4F" w:rsidRDefault="00AE6E4F" w:rsidP="00AE6E4F">
            <w:pPr>
              <w:rPr>
                <w:rFonts w:eastAsia="Times New Roman" w:cs="Times New Roman"/>
                <w:kern w:val="0"/>
                <w:sz w:val="22"/>
                <w:lang w:val="en-US"/>
                <w14:ligatures w14:val="none"/>
              </w:rPr>
            </w:pPr>
          </w:p>
          <w:p w14:paraId="1EE5C424" w14:textId="5FF82C12" w:rsidR="00AE6E4F" w:rsidRPr="00AE6E4F" w:rsidRDefault="008C0E31" w:rsidP="00AE6E4F">
            <w:pPr>
              <w:rPr>
                <w:rFonts w:eastAsia="Times New Roman" w:cs="Times New Roman"/>
                <w:kern w:val="0"/>
                <w:sz w:val="22"/>
                <w:lang w:val="en-US"/>
                <w14:ligatures w14:val="none"/>
              </w:rPr>
            </w:pPr>
            <w:r>
              <w:rPr>
                <w:rFonts w:eastAsia="Times New Roman" w:cs="Times New Roman"/>
                <w:kern w:val="0"/>
                <w:sz w:val="22"/>
                <w:lang w:val="en-US"/>
                <w14:ligatures w14:val="none"/>
              </w:rPr>
              <w:t>Annual review March 2026</w:t>
            </w: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lastRenderedPageBreak/>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77777777" w:rsidR="00383B0B" w:rsidRDefault="00383B0B" w:rsidP="00F85A90"/>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66C539C1" w14:textId="77777777" w:rsidR="008C0E31" w:rsidRDefault="008C0E31" w:rsidP="008C0E31">
            <w:pPr>
              <w:pStyle w:val="ListParagraph"/>
              <w:numPr>
                <w:ilvl w:val="0"/>
                <w:numId w:val="28"/>
              </w:numPr>
              <w:tabs>
                <w:tab w:val="left" w:pos="1620"/>
              </w:tabs>
              <w:rPr>
                <w:rFonts w:cs="Arial"/>
                <w:szCs w:val="24"/>
              </w:rPr>
            </w:pPr>
            <w:r>
              <w:rPr>
                <w:rFonts w:cs="Arial"/>
                <w:szCs w:val="24"/>
              </w:rPr>
              <w:t>Cambridgeshire Insight</w:t>
            </w:r>
          </w:p>
          <w:p w14:paraId="3745A12B" w14:textId="77777777" w:rsidR="008C0E31" w:rsidRDefault="008C0E31" w:rsidP="008C0E31">
            <w:pPr>
              <w:pStyle w:val="ListParagraph"/>
              <w:numPr>
                <w:ilvl w:val="0"/>
                <w:numId w:val="28"/>
              </w:numPr>
              <w:tabs>
                <w:tab w:val="left" w:pos="1620"/>
              </w:tabs>
              <w:rPr>
                <w:rFonts w:cs="Arial"/>
                <w:szCs w:val="24"/>
              </w:rPr>
            </w:pPr>
            <w:r>
              <w:rPr>
                <w:rFonts w:cs="Arial"/>
                <w:szCs w:val="24"/>
              </w:rPr>
              <w:t>Office for National statistics 2021 Census</w:t>
            </w:r>
          </w:p>
          <w:p w14:paraId="0544B25C" w14:textId="77777777" w:rsidR="008C0E31" w:rsidRDefault="008C0E31" w:rsidP="008C0E31">
            <w:pPr>
              <w:pStyle w:val="ListParagraph"/>
              <w:numPr>
                <w:ilvl w:val="0"/>
                <w:numId w:val="28"/>
              </w:numPr>
              <w:tabs>
                <w:tab w:val="left" w:pos="1620"/>
              </w:tabs>
              <w:rPr>
                <w:rFonts w:cs="Arial"/>
                <w:szCs w:val="24"/>
              </w:rPr>
            </w:pPr>
            <w:r>
              <w:rPr>
                <w:rFonts w:cs="Arial"/>
                <w:szCs w:val="24"/>
              </w:rPr>
              <w:t>ONS survey on Sexual Orientation in the UK (2017)</w:t>
            </w:r>
          </w:p>
          <w:p w14:paraId="377B2EB1" w14:textId="77777777" w:rsidR="008C0E31" w:rsidRDefault="008C0E31" w:rsidP="008C0E31">
            <w:pPr>
              <w:pStyle w:val="ListParagraph"/>
              <w:numPr>
                <w:ilvl w:val="0"/>
                <w:numId w:val="28"/>
              </w:numPr>
              <w:tabs>
                <w:tab w:val="left" w:pos="1620"/>
              </w:tabs>
              <w:rPr>
                <w:rFonts w:cs="Arial"/>
                <w:szCs w:val="24"/>
              </w:rPr>
            </w:pPr>
            <w:r>
              <w:rPr>
                <w:rFonts w:cs="Arial"/>
                <w:szCs w:val="24"/>
              </w:rPr>
              <w:t>Council’s Public Consultation rolling programme</w:t>
            </w:r>
          </w:p>
          <w:p w14:paraId="0BBB09C8" w14:textId="77777777" w:rsidR="008C0E31" w:rsidRDefault="008C0E31" w:rsidP="008C0E31">
            <w:pPr>
              <w:pStyle w:val="ListParagraph"/>
              <w:numPr>
                <w:ilvl w:val="0"/>
                <w:numId w:val="28"/>
              </w:numPr>
              <w:tabs>
                <w:tab w:val="left" w:pos="1620"/>
              </w:tabs>
              <w:rPr>
                <w:rFonts w:cs="Arial"/>
                <w:szCs w:val="24"/>
              </w:rPr>
            </w:pPr>
            <w:r>
              <w:rPr>
                <w:rFonts w:cs="Arial"/>
                <w:szCs w:val="24"/>
              </w:rPr>
              <w:t xml:space="preserve">Compliments, Complaints and Comments monitoring programme </w:t>
            </w:r>
          </w:p>
          <w:p w14:paraId="2172EA17" w14:textId="77777777" w:rsidR="008C0E31" w:rsidRDefault="008C0E31" w:rsidP="008C0E31">
            <w:pPr>
              <w:pStyle w:val="ListParagraph"/>
              <w:numPr>
                <w:ilvl w:val="0"/>
                <w:numId w:val="28"/>
              </w:numPr>
              <w:tabs>
                <w:tab w:val="left" w:pos="1620"/>
              </w:tabs>
              <w:rPr>
                <w:rFonts w:cs="Arial"/>
                <w:szCs w:val="24"/>
              </w:rPr>
            </w:pPr>
            <w:r>
              <w:rPr>
                <w:rFonts w:cs="Arial"/>
                <w:szCs w:val="24"/>
              </w:rPr>
              <w:t>Staff Equality Monitoring</w:t>
            </w:r>
          </w:p>
          <w:p w14:paraId="3798C3B1"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8BFE" w14:textId="77777777" w:rsidR="00580F40" w:rsidRDefault="00580F40" w:rsidP="00DE0479">
      <w:r>
        <w:separator/>
      </w:r>
    </w:p>
  </w:endnote>
  <w:endnote w:type="continuationSeparator" w:id="0">
    <w:p w14:paraId="660244CD" w14:textId="77777777" w:rsidR="00580F40" w:rsidRDefault="00580F40"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9436" w14:textId="77777777" w:rsidR="00580F40" w:rsidRDefault="00580F40" w:rsidP="00DE0479">
      <w:r>
        <w:separator/>
      </w:r>
    </w:p>
  </w:footnote>
  <w:footnote w:type="continuationSeparator" w:id="0">
    <w:p w14:paraId="18C69BA4" w14:textId="77777777" w:rsidR="00580F40" w:rsidRDefault="00580F40"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A25"/>
    <w:multiLevelType w:val="hybridMultilevel"/>
    <w:tmpl w:val="F0AA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2" w15:restartNumberingAfterBreak="0">
    <w:nsid w:val="0CDB64A4"/>
    <w:multiLevelType w:val="hybridMultilevel"/>
    <w:tmpl w:val="5D12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90F32"/>
    <w:multiLevelType w:val="hybridMultilevel"/>
    <w:tmpl w:val="618A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8"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306CD"/>
    <w:multiLevelType w:val="hybridMultilevel"/>
    <w:tmpl w:val="0724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5"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21"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2"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A3B18"/>
    <w:multiLevelType w:val="hybridMultilevel"/>
    <w:tmpl w:val="8E8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9"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0"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3"/>
  </w:num>
  <w:num w:numId="2" w16cid:durableId="1059327647">
    <w:abstractNumId w:val="10"/>
  </w:num>
  <w:num w:numId="3" w16cid:durableId="1169712533">
    <w:abstractNumId w:val="16"/>
  </w:num>
  <w:num w:numId="4" w16cid:durableId="1668091473">
    <w:abstractNumId w:val="25"/>
  </w:num>
  <w:num w:numId="5" w16cid:durableId="905144847">
    <w:abstractNumId w:val="8"/>
  </w:num>
  <w:num w:numId="6" w16cid:durableId="74210457">
    <w:abstractNumId w:val="7"/>
  </w:num>
  <w:num w:numId="7" w16cid:durableId="499851705">
    <w:abstractNumId w:val="1"/>
  </w:num>
  <w:num w:numId="8" w16cid:durableId="1487211395">
    <w:abstractNumId w:val="24"/>
  </w:num>
  <w:num w:numId="9" w16cid:durableId="376784684">
    <w:abstractNumId w:val="11"/>
  </w:num>
  <w:num w:numId="10" w16cid:durableId="1302346234">
    <w:abstractNumId w:val="29"/>
  </w:num>
  <w:num w:numId="11" w16cid:durableId="59597926">
    <w:abstractNumId w:val="23"/>
  </w:num>
  <w:num w:numId="12" w16cid:durableId="810829194">
    <w:abstractNumId w:val="6"/>
  </w:num>
  <w:num w:numId="13" w16cid:durableId="1653831862">
    <w:abstractNumId w:val="9"/>
  </w:num>
  <w:num w:numId="14" w16cid:durableId="268856396">
    <w:abstractNumId w:val="22"/>
  </w:num>
  <w:num w:numId="15" w16cid:durableId="769853231">
    <w:abstractNumId w:val="21"/>
  </w:num>
  <w:num w:numId="16" w16cid:durableId="1567494817">
    <w:abstractNumId w:val="27"/>
  </w:num>
  <w:num w:numId="17" w16cid:durableId="314722523">
    <w:abstractNumId w:val="12"/>
  </w:num>
  <w:num w:numId="18" w16cid:durableId="312682986">
    <w:abstractNumId w:val="20"/>
  </w:num>
  <w:num w:numId="19" w16cid:durableId="1152989405">
    <w:abstractNumId w:val="30"/>
  </w:num>
  <w:num w:numId="20" w16cid:durableId="1327397278">
    <w:abstractNumId w:val="14"/>
  </w:num>
  <w:num w:numId="21" w16cid:durableId="865606008">
    <w:abstractNumId w:val="28"/>
  </w:num>
  <w:num w:numId="22" w16cid:durableId="472069081">
    <w:abstractNumId w:val="15"/>
  </w:num>
  <w:num w:numId="23" w16cid:durableId="525099300">
    <w:abstractNumId w:val="17"/>
  </w:num>
  <w:num w:numId="24" w16cid:durableId="1589536094">
    <w:abstractNumId w:val="18"/>
  </w:num>
  <w:num w:numId="25" w16cid:durableId="1395738368">
    <w:abstractNumId w:val="19"/>
  </w:num>
  <w:num w:numId="26" w16cid:durableId="1459488588">
    <w:abstractNumId w:val="4"/>
  </w:num>
  <w:num w:numId="27" w16cid:durableId="507447455">
    <w:abstractNumId w:val="26"/>
  </w:num>
  <w:num w:numId="28" w16cid:durableId="1658651771">
    <w:abstractNumId w:val="5"/>
  </w:num>
  <w:num w:numId="29" w16cid:durableId="616566030">
    <w:abstractNumId w:val="2"/>
  </w:num>
  <w:num w:numId="30" w16cid:durableId="54163914">
    <w:abstractNumId w:val="0"/>
  </w:num>
  <w:num w:numId="31" w16cid:durableId="1755277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45817"/>
    <w:rsid w:val="00092104"/>
    <w:rsid w:val="000F363D"/>
    <w:rsid w:val="000F7582"/>
    <w:rsid w:val="00126205"/>
    <w:rsid w:val="00162281"/>
    <w:rsid w:val="001E0ADF"/>
    <w:rsid w:val="00233A25"/>
    <w:rsid w:val="00236930"/>
    <w:rsid w:val="002A1955"/>
    <w:rsid w:val="002F602A"/>
    <w:rsid w:val="0030368E"/>
    <w:rsid w:val="003169C4"/>
    <w:rsid w:val="00383B0B"/>
    <w:rsid w:val="003B37A8"/>
    <w:rsid w:val="003D2798"/>
    <w:rsid w:val="003D5A86"/>
    <w:rsid w:val="00483F7B"/>
    <w:rsid w:val="00484FE3"/>
    <w:rsid w:val="004D02B7"/>
    <w:rsid w:val="004E6CFD"/>
    <w:rsid w:val="005316D0"/>
    <w:rsid w:val="005334F9"/>
    <w:rsid w:val="00554750"/>
    <w:rsid w:val="00580F40"/>
    <w:rsid w:val="00581273"/>
    <w:rsid w:val="005A0185"/>
    <w:rsid w:val="005A0D63"/>
    <w:rsid w:val="005A3DE6"/>
    <w:rsid w:val="005B726B"/>
    <w:rsid w:val="005C7954"/>
    <w:rsid w:val="006641B7"/>
    <w:rsid w:val="0067678F"/>
    <w:rsid w:val="00695B8E"/>
    <w:rsid w:val="006A7EC7"/>
    <w:rsid w:val="006B2A0C"/>
    <w:rsid w:val="006D378A"/>
    <w:rsid w:val="00713B84"/>
    <w:rsid w:val="00737374"/>
    <w:rsid w:val="00796FB7"/>
    <w:rsid w:val="008C0E31"/>
    <w:rsid w:val="00933FF8"/>
    <w:rsid w:val="009D2978"/>
    <w:rsid w:val="009E55B4"/>
    <w:rsid w:val="00A4363E"/>
    <w:rsid w:val="00A96796"/>
    <w:rsid w:val="00AE10F8"/>
    <w:rsid w:val="00AE6E4F"/>
    <w:rsid w:val="00B62A71"/>
    <w:rsid w:val="00B81B3C"/>
    <w:rsid w:val="00B82EF2"/>
    <w:rsid w:val="00B90269"/>
    <w:rsid w:val="00C01148"/>
    <w:rsid w:val="00C871C6"/>
    <w:rsid w:val="00CB7D0E"/>
    <w:rsid w:val="00CD0CD8"/>
    <w:rsid w:val="00D6047D"/>
    <w:rsid w:val="00DE0479"/>
    <w:rsid w:val="00E02321"/>
    <w:rsid w:val="00E3622B"/>
    <w:rsid w:val="00EE0E55"/>
    <w:rsid w:val="00F26687"/>
    <w:rsid w:val="00F845F2"/>
    <w:rsid w:val="00F85A90"/>
    <w:rsid w:val="00FB2E07"/>
    <w:rsid w:val="00FD655C"/>
    <w:rsid w:val="00FD7542"/>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dda7edf121898fb6bfce17a6362a3068">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6d8ccd69bb17d4b30ff5e4cd0ec9d7ce"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2.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3.xml><?xml version="1.0" encoding="utf-8"?>
<ds:datastoreItem xmlns:ds="http://schemas.openxmlformats.org/officeDocument/2006/customXml" ds:itemID="{25146CE1-2747-473A-9E20-78C122AC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2628</Words>
  <Characters>14985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2025-06-10T08:30:00Z</dcterms:created>
  <dcterms:modified xsi:type="dcterms:W3CDTF">2025-06-10T08:30:00Z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