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20B8817B" w14:textId="77777777" w:rsidR="00222E62" w:rsidRDefault="00222E62" w:rsidP="00222E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Business Rates</w:t>
            </w:r>
          </w:p>
          <w:p w14:paraId="614C144A" w14:textId="77777777" w:rsidR="00222E62" w:rsidRDefault="00222E62" w:rsidP="00222E62">
            <w:pPr>
              <w:rPr>
                <w:b/>
                <w:szCs w:val="24"/>
              </w:rPr>
            </w:pPr>
            <w:r>
              <w:rPr>
                <w:sz w:val="20"/>
                <w:szCs w:val="20"/>
              </w:rPr>
              <w:t>To collect and administer Business rates for non-domestic dwellings such as shops, offices, pubs, warehouses, factories etc.</w:t>
            </w:r>
          </w:p>
          <w:p w14:paraId="50F4E6D0" w14:textId="26766CE4" w:rsidR="000F363D" w:rsidRDefault="000F363D" w:rsidP="009D2978">
            <w:pPr>
              <w:pStyle w:val="BodyText"/>
              <w:spacing w:before="0"/>
              <w:ind w:left="0"/>
            </w:pPr>
          </w:p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47230256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 xml:space="preserve">List main outcome focus and supporting activities of the Policy, Project, Service </w:t>
            </w:r>
            <w:r w:rsidRPr="001E0ADF">
              <w:rPr>
                <w:b/>
                <w:bCs/>
              </w:rPr>
              <w:lastRenderedPageBreak/>
              <w:t>Reform or Budget Option</w:t>
            </w:r>
          </w:p>
        </w:tc>
        <w:tc>
          <w:tcPr>
            <w:tcW w:w="10915" w:type="dxa"/>
          </w:tcPr>
          <w:p w14:paraId="32C60644" w14:textId="2FA7AC8F" w:rsidR="001E0ADF" w:rsidRDefault="00222E62" w:rsidP="009D2978">
            <w:pPr>
              <w:pStyle w:val="BodyText"/>
              <w:spacing w:before="0"/>
              <w:ind w:left="0"/>
            </w:pPr>
            <w:proofErr w:type="gramStart"/>
            <w:r>
              <w:rPr>
                <w:sz w:val="20"/>
                <w:szCs w:val="20"/>
              </w:rPr>
              <w:lastRenderedPageBreak/>
              <w:t>The majority of</w:t>
            </w:r>
            <w:proofErr w:type="gramEnd"/>
            <w:r>
              <w:rPr>
                <w:sz w:val="20"/>
                <w:szCs w:val="20"/>
              </w:rPr>
              <w:t xml:space="preserve"> the service we provide is governed by legislation and regulations. </w:t>
            </w:r>
            <w:proofErr w:type="gramStart"/>
            <w:r>
              <w:rPr>
                <w:sz w:val="20"/>
                <w:szCs w:val="20"/>
              </w:rPr>
              <w:t>All of</w:t>
            </w:r>
            <w:proofErr w:type="gramEnd"/>
            <w:r>
              <w:rPr>
                <w:sz w:val="20"/>
                <w:szCs w:val="20"/>
              </w:rPr>
              <w:t xml:space="preserve"> the policies and procedures we work to are reviewed regularly to ensure they are </w:t>
            </w:r>
            <w:proofErr w:type="gramStart"/>
            <w:r>
              <w:rPr>
                <w:sz w:val="20"/>
                <w:szCs w:val="20"/>
              </w:rPr>
              <w:t>fair</w:t>
            </w:r>
            <w:proofErr w:type="gramEnd"/>
            <w:r>
              <w:rPr>
                <w:sz w:val="20"/>
                <w:szCs w:val="20"/>
              </w:rPr>
              <w:t xml:space="preserve"> and we welcome feedback from customers and take appropriate action where necessary through our 3c’s department</w:t>
            </w: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officer completing assessment (signed and date)</w:t>
            </w:r>
          </w:p>
        </w:tc>
        <w:tc>
          <w:tcPr>
            <w:tcW w:w="10915" w:type="dxa"/>
          </w:tcPr>
          <w:p w14:paraId="10EAB4F9" w14:textId="77777777" w:rsidR="001E0ADF" w:rsidRDefault="00222E62" w:rsidP="009D2978">
            <w:pPr>
              <w:pStyle w:val="BodyText"/>
              <w:spacing w:before="0"/>
              <w:ind w:left="0"/>
            </w:pPr>
            <w:r>
              <w:t xml:space="preserve">Andrew Rose 19.03.2025 </w:t>
            </w:r>
          </w:p>
          <w:p w14:paraId="6A980B42" w14:textId="172D6BC2" w:rsidR="00222E62" w:rsidRDefault="00222E62" w:rsidP="009D2978">
            <w:pPr>
              <w:pStyle w:val="BodyText"/>
              <w:spacing w:before="0"/>
              <w:ind w:left="0"/>
            </w:pPr>
            <w:r>
              <w:rPr>
                <w:noProof/>
              </w:rPr>
              <w:drawing>
                <wp:inline distT="0" distB="0" distL="0" distR="0" wp14:anchorId="448BA6E7" wp14:editId="691A2B31">
                  <wp:extent cx="906780" cy="594360"/>
                  <wp:effectExtent l="0" t="0" r="7620" b="0"/>
                  <wp:docPr id="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1E0ADF" w:rsidRDefault="001E0ADF" w:rsidP="009D2978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 xml:space="preserve">consultation </w:t>
            </w:r>
            <w:r w:rsidRPr="001E0ADF">
              <w:rPr>
                <w:b/>
                <w:bCs/>
              </w:rPr>
              <w:lastRenderedPageBreak/>
              <w:t>has been completed, please note the 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67DDDF95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2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lastRenderedPageBreak/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409E6510" w:rsidR="00713B84" w:rsidRDefault="00713B84" w:rsidP="003D5A86"/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BCD9109" w:rsidR="00713B84" w:rsidRDefault="00713B84" w:rsidP="00713B84"/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3BECB3DA" w:rsidR="00713B84" w:rsidRDefault="00713B84" w:rsidP="00713B84"/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222E62" w14:paraId="60766B0B" w14:textId="77777777" w:rsidTr="00713B84">
        <w:tc>
          <w:tcPr>
            <w:tcW w:w="2642" w:type="dxa"/>
          </w:tcPr>
          <w:p w14:paraId="3341862C" w14:textId="05457808" w:rsidR="00222E62" w:rsidRDefault="00222E62" w:rsidP="00222E62">
            <w:r>
              <w:t>Race</w:t>
            </w:r>
          </w:p>
        </w:tc>
        <w:tc>
          <w:tcPr>
            <w:tcW w:w="2703" w:type="dxa"/>
          </w:tcPr>
          <w:p w14:paraId="73C50F30" w14:textId="0E7AFFD9" w:rsidR="00222E62" w:rsidRDefault="00222E62" w:rsidP="00222E62">
            <w:r>
              <w:t xml:space="preserve">White </w:t>
            </w:r>
          </w:p>
        </w:tc>
        <w:tc>
          <w:tcPr>
            <w:tcW w:w="2320" w:type="dxa"/>
          </w:tcPr>
          <w:p w14:paraId="69E49008" w14:textId="4B72AC2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30100EEB" w14:textId="408627E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0767CD2" w14:textId="13333F4C" w:rsidR="00222E62" w:rsidRDefault="00222E62" w:rsidP="00222E62"/>
        </w:tc>
        <w:tc>
          <w:tcPr>
            <w:tcW w:w="2429" w:type="dxa"/>
          </w:tcPr>
          <w:p w14:paraId="5C9F25B5" w14:textId="77777777" w:rsidR="00222E62" w:rsidRDefault="00222E62" w:rsidP="00222E62"/>
        </w:tc>
      </w:tr>
      <w:tr w:rsidR="00222E62" w14:paraId="0FB9C5E0" w14:textId="77777777" w:rsidTr="00713B84">
        <w:tc>
          <w:tcPr>
            <w:tcW w:w="2642" w:type="dxa"/>
          </w:tcPr>
          <w:p w14:paraId="0CBFDD78" w14:textId="77777777" w:rsidR="00222E62" w:rsidRDefault="00222E62" w:rsidP="00222E62"/>
        </w:tc>
        <w:tc>
          <w:tcPr>
            <w:tcW w:w="2703" w:type="dxa"/>
          </w:tcPr>
          <w:p w14:paraId="379FF213" w14:textId="512F6CDA" w:rsidR="00222E62" w:rsidRDefault="00222E62" w:rsidP="00222E62">
            <w:r>
              <w:t>Mixed or Multiple Ethnic Groups</w:t>
            </w:r>
          </w:p>
        </w:tc>
        <w:tc>
          <w:tcPr>
            <w:tcW w:w="2320" w:type="dxa"/>
          </w:tcPr>
          <w:p w14:paraId="0E16A68F" w14:textId="0943D09B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B6B151C" w14:textId="75B5D57B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160085C2" w14:textId="7EDF6678" w:rsidR="00222E62" w:rsidRDefault="00222E62" w:rsidP="00222E62"/>
        </w:tc>
        <w:tc>
          <w:tcPr>
            <w:tcW w:w="2429" w:type="dxa"/>
          </w:tcPr>
          <w:p w14:paraId="2D1813BB" w14:textId="77777777" w:rsidR="00222E62" w:rsidRDefault="00222E62" w:rsidP="00222E62"/>
        </w:tc>
      </w:tr>
      <w:tr w:rsidR="00222E62" w14:paraId="6E71CA62" w14:textId="77777777" w:rsidTr="00713B84">
        <w:tc>
          <w:tcPr>
            <w:tcW w:w="2642" w:type="dxa"/>
          </w:tcPr>
          <w:p w14:paraId="1028A893" w14:textId="77777777" w:rsidR="00222E62" w:rsidRDefault="00222E62" w:rsidP="00222E62"/>
        </w:tc>
        <w:tc>
          <w:tcPr>
            <w:tcW w:w="2703" w:type="dxa"/>
          </w:tcPr>
          <w:p w14:paraId="02D7D95C" w14:textId="7EA2E142" w:rsidR="00222E62" w:rsidRDefault="00222E62" w:rsidP="00222E62">
            <w:r>
              <w:t>Asian</w:t>
            </w:r>
          </w:p>
        </w:tc>
        <w:tc>
          <w:tcPr>
            <w:tcW w:w="2320" w:type="dxa"/>
          </w:tcPr>
          <w:p w14:paraId="2DBA5C9D" w14:textId="09A67BC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02A00B73" w14:textId="5BCBC69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617FC3BC" w14:textId="309FEEFC" w:rsidR="00222E62" w:rsidRDefault="00222E62" w:rsidP="00222E62"/>
        </w:tc>
        <w:tc>
          <w:tcPr>
            <w:tcW w:w="2429" w:type="dxa"/>
          </w:tcPr>
          <w:p w14:paraId="7D84E5D3" w14:textId="77777777" w:rsidR="00222E62" w:rsidRDefault="00222E62" w:rsidP="00222E62"/>
        </w:tc>
      </w:tr>
      <w:tr w:rsidR="00222E62" w14:paraId="0B7047EF" w14:textId="77777777" w:rsidTr="00713B84">
        <w:tc>
          <w:tcPr>
            <w:tcW w:w="2642" w:type="dxa"/>
          </w:tcPr>
          <w:p w14:paraId="2777AE8C" w14:textId="77777777" w:rsidR="00222E62" w:rsidRDefault="00222E62" w:rsidP="00222E62"/>
        </w:tc>
        <w:tc>
          <w:tcPr>
            <w:tcW w:w="2703" w:type="dxa"/>
          </w:tcPr>
          <w:p w14:paraId="356FFB7D" w14:textId="354A3756" w:rsidR="00222E62" w:rsidRDefault="00222E62" w:rsidP="00222E62">
            <w:r>
              <w:t>African</w:t>
            </w:r>
          </w:p>
        </w:tc>
        <w:tc>
          <w:tcPr>
            <w:tcW w:w="2320" w:type="dxa"/>
          </w:tcPr>
          <w:p w14:paraId="240FC0F4" w14:textId="52E6BD2F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78A42B4" w14:textId="338E994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B6A229E" w14:textId="3372D60B" w:rsidR="00222E62" w:rsidRDefault="00222E62" w:rsidP="00222E62"/>
        </w:tc>
        <w:tc>
          <w:tcPr>
            <w:tcW w:w="2429" w:type="dxa"/>
          </w:tcPr>
          <w:p w14:paraId="01BEAFF0" w14:textId="77777777" w:rsidR="00222E62" w:rsidRDefault="00222E62" w:rsidP="00222E62"/>
        </w:tc>
      </w:tr>
      <w:tr w:rsidR="00222E62" w14:paraId="03CD8CBC" w14:textId="77777777" w:rsidTr="00713B84">
        <w:tc>
          <w:tcPr>
            <w:tcW w:w="2642" w:type="dxa"/>
          </w:tcPr>
          <w:p w14:paraId="25BAB087" w14:textId="77777777" w:rsidR="00222E62" w:rsidRDefault="00222E62" w:rsidP="00222E62"/>
        </w:tc>
        <w:tc>
          <w:tcPr>
            <w:tcW w:w="2703" w:type="dxa"/>
          </w:tcPr>
          <w:p w14:paraId="0612E245" w14:textId="46606654" w:rsidR="00222E62" w:rsidRDefault="00222E62" w:rsidP="00222E62">
            <w:r>
              <w:t>Caribbean or Black</w:t>
            </w:r>
          </w:p>
        </w:tc>
        <w:tc>
          <w:tcPr>
            <w:tcW w:w="2320" w:type="dxa"/>
          </w:tcPr>
          <w:p w14:paraId="1D7F1F86" w14:textId="78F489A4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BAE5336" w14:textId="0099F289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0E922D6" w14:textId="61F1FE1C" w:rsidR="00222E62" w:rsidRDefault="00222E62" w:rsidP="00222E62"/>
        </w:tc>
        <w:tc>
          <w:tcPr>
            <w:tcW w:w="2429" w:type="dxa"/>
          </w:tcPr>
          <w:p w14:paraId="7AEA2655" w14:textId="77777777" w:rsidR="00222E62" w:rsidRDefault="00222E62" w:rsidP="00222E62"/>
        </w:tc>
      </w:tr>
      <w:tr w:rsidR="00222E62" w14:paraId="381A2A74" w14:textId="77777777" w:rsidTr="00713B84">
        <w:tc>
          <w:tcPr>
            <w:tcW w:w="2642" w:type="dxa"/>
          </w:tcPr>
          <w:p w14:paraId="75AF0A79" w14:textId="77777777" w:rsidR="00222E62" w:rsidRDefault="00222E62" w:rsidP="00222E62"/>
        </w:tc>
        <w:tc>
          <w:tcPr>
            <w:tcW w:w="2703" w:type="dxa"/>
          </w:tcPr>
          <w:p w14:paraId="5731B9D1" w14:textId="2B5A883D" w:rsidR="00222E62" w:rsidRDefault="00222E62" w:rsidP="00222E62">
            <w:r>
              <w:t>Other Ethnic Group</w:t>
            </w:r>
          </w:p>
        </w:tc>
        <w:tc>
          <w:tcPr>
            <w:tcW w:w="2320" w:type="dxa"/>
          </w:tcPr>
          <w:p w14:paraId="29B27C7D" w14:textId="5851430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091EE0D" w14:textId="2CFA33C8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F5EA106" w14:textId="01E530E8" w:rsidR="00222E62" w:rsidRDefault="00222E62" w:rsidP="00222E62"/>
        </w:tc>
        <w:tc>
          <w:tcPr>
            <w:tcW w:w="2429" w:type="dxa"/>
          </w:tcPr>
          <w:p w14:paraId="2C544650" w14:textId="77777777" w:rsidR="00222E62" w:rsidRDefault="00222E62" w:rsidP="00222E62"/>
        </w:tc>
      </w:tr>
      <w:tr w:rsidR="00222E62" w14:paraId="0A38FDB3" w14:textId="77777777" w:rsidTr="00713B84">
        <w:tc>
          <w:tcPr>
            <w:tcW w:w="2642" w:type="dxa"/>
          </w:tcPr>
          <w:p w14:paraId="7E05F785" w14:textId="1EA7A894" w:rsidR="00222E62" w:rsidRDefault="00222E62" w:rsidP="00222E62">
            <w:bookmarkStart w:id="4" w:name="_Hlk193277869"/>
            <w:r>
              <w:t>Disability</w:t>
            </w:r>
          </w:p>
        </w:tc>
        <w:tc>
          <w:tcPr>
            <w:tcW w:w="2703" w:type="dxa"/>
          </w:tcPr>
          <w:p w14:paraId="45F5B522" w14:textId="10261685" w:rsidR="00222E62" w:rsidRDefault="00222E62" w:rsidP="00222E62">
            <w:r>
              <w:t>Physical disability</w:t>
            </w:r>
          </w:p>
        </w:tc>
        <w:tc>
          <w:tcPr>
            <w:tcW w:w="2320" w:type="dxa"/>
          </w:tcPr>
          <w:p w14:paraId="7E32B117" w14:textId="0EC21B88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0293983" w14:textId="69659AC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79C0B417" w14:textId="1B791BB9" w:rsidR="00222E62" w:rsidRDefault="00222E62" w:rsidP="00222E62"/>
        </w:tc>
        <w:tc>
          <w:tcPr>
            <w:tcW w:w="2429" w:type="dxa"/>
          </w:tcPr>
          <w:p w14:paraId="70C9D68E" w14:textId="77777777" w:rsidR="00222E62" w:rsidRDefault="00222E62" w:rsidP="00222E62"/>
        </w:tc>
      </w:tr>
      <w:tr w:rsidR="00222E62" w14:paraId="2754F896" w14:textId="77777777" w:rsidTr="00713B84">
        <w:tc>
          <w:tcPr>
            <w:tcW w:w="2642" w:type="dxa"/>
          </w:tcPr>
          <w:p w14:paraId="478BEF29" w14:textId="77777777" w:rsidR="00222E62" w:rsidRDefault="00222E62" w:rsidP="00222E62"/>
        </w:tc>
        <w:tc>
          <w:tcPr>
            <w:tcW w:w="2703" w:type="dxa"/>
          </w:tcPr>
          <w:p w14:paraId="5E62D614" w14:textId="368B41FA" w:rsidR="00222E62" w:rsidRDefault="00222E62" w:rsidP="00222E62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53027757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5E290BF1" w14:textId="386081F0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097B0325" w14:textId="63340823" w:rsidR="00222E62" w:rsidRDefault="00222E62" w:rsidP="00222E62"/>
        </w:tc>
        <w:tc>
          <w:tcPr>
            <w:tcW w:w="2429" w:type="dxa"/>
          </w:tcPr>
          <w:p w14:paraId="4F346008" w14:textId="77777777" w:rsidR="00222E62" w:rsidRDefault="00222E62" w:rsidP="00222E62"/>
        </w:tc>
      </w:tr>
      <w:tr w:rsidR="00222E62" w14:paraId="3AFFCDB4" w14:textId="77777777" w:rsidTr="00713B84">
        <w:tc>
          <w:tcPr>
            <w:tcW w:w="2642" w:type="dxa"/>
          </w:tcPr>
          <w:p w14:paraId="38462805" w14:textId="77777777" w:rsidR="00222E62" w:rsidRDefault="00222E62" w:rsidP="00222E62"/>
        </w:tc>
        <w:tc>
          <w:tcPr>
            <w:tcW w:w="2703" w:type="dxa"/>
          </w:tcPr>
          <w:p w14:paraId="767A07E1" w14:textId="31886DDD" w:rsidR="00222E62" w:rsidRDefault="00222E62" w:rsidP="00222E62">
            <w:r>
              <w:t>Mental health</w:t>
            </w:r>
          </w:p>
        </w:tc>
        <w:tc>
          <w:tcPr>
            <w:tcW w:w="2320" w:type="dxa"/>
          </w:tcPr>
          <w:p w14:paraId="428D2831" w14:textId="601D6D6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746C4B8" w14:textId="4DE72AC4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C4BB78B" w14:textId="47C2CD32" w:rsidR="00222E62" w:rsidRDefault="00222E62" w:rsidP="00222E62"/>
        </w:tc>
        <w:tc>
          <w:tcPr>
            <w:tcW w:w="2429" w:type="dxa"/>
          </w:tcPr>
          <w:p w14:paraId="3FCD1DDF" w14:textId="77777777" w:rsidR="00222E62" w:rsidRDefault="00222E62" w:rsidP="00222E62"/>
        </w:tc>
      </w:tr>
      <w:tr w:rsidR="00222E62" w14:paraId="1B61160E" w14:textId="77777777" w:rsidTr="00713B84">
        <w:tc>
          <w:tcPr>
            <w:tcW w:w="2642" w:type="dxa"/>
          </w:tcPr>
          <w:p w14:paraId="72657B66" w14:textId="77777777" w:rsidR="00222E62" w:rsidRDefault="00222E62" w:rsidP="00222E62"/>
        </w:tc>
        <w:tc>
          <w:tcPr>
            <w:tcW w:w="2703" w:type="dxa"/>
          </w:tcPr>
          <w:p w14:paraId="3A3BEC7E" w14:textId="181F8590" w:rsidR="00222E62" w:rsidRDefault="00222E62" w:rsidP="00222E62">
            <w:r>
              <w:t>Learning disability</w:t>
            </w:r>
          </w:p>
        </w:tc>
        <w:tc>
          <w:tcPr>
            <w:tcW w:w="2320" w:type="dxa"/>
          </w:tcPr>
          <w:p w14:paraId="27EC821B" w14:textId="06C932ED" w:rsidR="00222E62" w:rsidRDefault="00222E62" w:rsidP="00222E62">
            <w:r w:rsidRPr="005965B0">
              <w:rPr>
                <w:b/>
                <w:bCs/>
              </w:rPr>
              <w:t>X</w:t>
            </w:r>
          </w:p>
        </w:tc>
        <w:tc>
          <w:tcPr>
            <w:tcW w:w="2100" w:type="dxa"/>
          </w:tcPr>
          <w:p w14:paraId="18D25F00" w14:textId="6FB35595" w:rsidR="00222E62" w:rsidRDefault="00222E62" w:rsidP="00222E62">
            <w:pPr>
              <w:jc w:val="center"/>
            </w:pPr>
          </w:p>
        </w:tc>
        <w:tc>
          <w:tcPr>
            <w:tcW w:w="2366" w:type="dxa"/>
          </w:tcPr>
          <w:p w14:paraId="3748019A" w14:textId="50C7B75E" w:rsidR="00222E62" w:rsidRDefault="00222E62" w:rsidP="00222E62"/>
        </w:tc>
        <w:tc>
          <w:tcPr>
            <w:tcW w:w="2429" w:type="dxa"/>
          </w:tcPr>
          <w:p w14:paraId="607248D6" w14:textId="77777777" w:rsidR="00222E62" w:rsidRDefault="00222E62" w:rsidP="00222E62"/>
        </w:tc>
      </w:tr>
      <w:bookmarkEnd w:id="4"/>
      <w:tr w:rsidR="00222E62" w14:paraId="6BEA0620" w14:textId="77777777" w:rsidTr="00713B84">
        <w:tc>
          <w:tcPr>
            <w:tcW w:w="2642" w:type="dxa"/>
          </w:tcPr>
          <w:p w14:paraId="210F5A3B" w14:textId="05DF5078" w:rsidR="00222E62" w:rsidRDefault="00222E62" w:rsidP="00222E62">
            <w:r>
              <w:t>LGBT</w:t>
            </w:r>
          </w:p>
        </w:tc>
        <w:tc>
          <w:tcPr>
            <w:tcW w:w="2703" w:type="dxa"/>
          </w:tcPr>
          <w:p w14:paraId="6505520A" w14:textId="249E4FC6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182923D9" w14:textId="77777777" w:rsidR="00222E62" w:rsidRDefault="00222E62" w:rsidP="00222E62"/>
        </w:tc>
        <w:tc>
          <w:tcPr>
            <w:tcW w:w="2100" w:type="dxa"/>
          </w:tcPr>
          <w:p w14:paraId="7EC2D735" w14:textId="457177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30B3DA1A" w:rsidR="00222E62" w:rsidRDefault="00222E62" w:rsidP="00222E62"/>
        </w:tc>
        <w:tc>
          <w:tcPr>
            <w:tcW w:w="2429" w:type="dxa"/>
          </w:tcPr>
          <w:p w14:paraId="28F8CD55" w14:textId="77777777" w:rsidR="00222E62" w:rsidRDefault="00222E62" w:rsidP="00222E62"/>
        </w:tc>
      </w:tr>
      <w:tr w:rsidR="00222E62" w14:paraId="3FB3D175" w14:textId="77777777" w:rsidTr="00713B84">
        <w:tc>
          <w:tcPr>
            <w:tcW w:w="2642" w:type="dxa"/>
          </w:tcPr>
          <w:p w14:paraId="1CF8367B" w14:textId="77777777" w:rsidR="00222E62" w:rsidRDefault="00222E62" w:rsidP="00222E62"/>
        </w:tc>
        <w:tc>
          <w:tcPr>
            <w:tcW w:w="2703" w:type="dxa"/>
          </w:tcPr>
          <w:p w14:paraId="794ED908" w14:textId="2452D9CD" w:rsidR="00222E62" w:rsidRDefault="00222E62" w:rsidP="00222E62">
            <w:r>
              <w:t>Gay Men</w:t>
            </w:r>
          </w:p>
        </w:tc>
        <w:tc>
          <w:tcPr>
            <w:tcW w:w="2320" w:type="dxa"/>
          </w:tcPr>
          <w:p w14:paraId="60E90BA1" w14:textId="77777777" w:rsidR="00222E62" w:rsidRDefault="00222E62" w:rsidP="00222E62"/>
        </w:tc>
        <w:tc>
          <w:tcPr>
            <w:tcW w:w="2100" w:type="dxa"/>
          </w:tcPr>
          <w:p w14:paraId="0C17B9AB" w14:textId="2D11349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6BF0B334" w:rsidR="00222E62" w:rsidRDefault="00222E62" w:rsidP="00222E62"/>
        </w:tc>
        <w:tc>
          <w:tcPr>
            <w:tcW w:w="2429" w:type="dxa"/>
          </w:tcPr>
          <w:p w14:paraId="4F9FC776" w14:textId="77777777" w:rsidR="00222E62" w:rsidRDefault="00222E62" w:rsidP="00222E62"/>
        </w:tc>
      </w:tr>
      <w:tr w:rsidR="00222E62" w14:paraId="54273A0F" w14:textId="77777777" w:rsidTr="00713B84">
        <w:tc>
          <w:tcPr>
            <w:tcW w:w="2642" w:type="dxa"/>
          </w:tcPr>
          <w:p w14:paraId="3993430D" w14:textId="77777777" w:rsidR="00222E62" w:rsidRDefault="00222E62" w:rsidP="00222E62"/>
        </w:tc>
        <w:tc>
          <w:tcPr>
            <w:tcW w:w="2703" w:type="dxa"/>
          </w:tcPr>
          <w:p w14:paraId="6180103A" w14:textId="2E4D2B51" w:rsidR="00222E62" w:rsidRDefault="00222E62" w:rsidP="00222E62">
            <w:r>
              <w:t>Bisexual</w:t>
            </w:r>
          </w:p>
        </w:tc>
        <w:tc>
          <w:tcPr>
            <w:tcW w:w="2320" w:type="dxa"/>
          </w:tcPr>
          <w:p w14:paraId="08FB7E5B" w14:textId="77777777" w:rsidR="00222E62" w:rsidRDefault="00222E62" w:rsidP="00222E62"/>
        </w:tc>
        <w:tc>
          <w:tcPr>
            <w:tcW w:w="2100" w:type="dxa"/>
          </w:tcPr>
          <w:p w14:paraId="36C88A34" w14:textId="081AE7F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33A75DDC" w:rsidR="00222E62" w:rsidRDefault="00222E62" w:rsidP="00222E62"/>
        </w:tc>
        <w:tc>
          <w:tcPr>
            <w:tcW w:w="2429" w:type="dxa"/>
          </w:tcPr>
          <w:p w14:paraId="163D991A" w14:textId="77777777" w:rsidR="00222E62" w:rsidRDefault="00222E62" w:rsidP="00222E62"/>
        </w:tc>
      </w:tr>
      <w:tr w:rsidR="00222E62" w14:paraId="1E07721A" w14:textId="77777777" w:rsidTr="00713B84">
        <w:tc>
          <w:tcPr>
            <w:tcW w:w="2642" w:type="dxa"/>
          </w:tcPr>
          <w:p w14:paraId="5A725ED7" w14:textId="4F76A7C4" w:rsidR="00222E62" w:rsidRDefault="00222E62" w:rsidP="00222E62">
            <w:r>
              <w:t>Age</w:t>
            </w:r>
          </w:p>
        </w:tc>
        <w:tc>
          <w:tcPr>
            <w:tcW w:w="2703" w:type="dxa"/>
          </w:tcPr>
          <w:p w14:paraId="70AD3758" w14:textId="0A6DE403" w:rsidR="00222E62" w:rsidRDefault="00222E62" w:rsidP="00222E62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222E62" w:rsidRDefault="00222E62" w:rsidP="00222E62"/>
        </w:tc>
        <w:tc>
          <w:tcPr>
            <w:tcW w:w="2100" w:type="dxa"/>
          </w:tcPr>
          <w:p w14:paraId="59653059" w14:textId="0B409152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7AD85C98" w:rsidR="00222E62" w:rsidRDefault="00222E62" w:rsidP="00222E62"/>
        </w:tc>
        <w:tc>
          <w:tcPr>
            <w:tcW w:w="2429" w:type="dxa"/>
          </w:tcPr>
          <w:p w14:paraId="375DA172" w14:textId="77777777" w:rsidR="00222E62" w:rsidRDefault="00222E62" w:rsidP="00222E62"/>
        </w:tc>
      </w:tr>
      <w:tr w:rsidR="00222E62" w14:paraId="0B278962" w14:textId="77777777" w:rsidTr="00713B84">
        <w:tc>
          <w:tcPr>
            <w:tcW w:w="2642" w:type="dxa"/>
          </w:tcPr>
          <w:p w14:paraId="6F08B9EC" w14:textId="77777777" w:rsidR="00222E62" w:rsidRDefault="00222E62" w:rsidP="00222E62"/>
        </w:tc>
        <w:tc>
          <w:tcPr>
            <w:tcW w:w="2703" w:type="dxa"/>
          </w:tcPr>
          <w:p w14:paraId="3CD17D82" w14:textId="4C5CC924" w:rsidR="00222E62" w:rsidRDefault="00222E62" w:rsidP="00222E62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222E62" w:rsidRDefault="00222E62" w:rsidP="00222E62"/>
        </w:tc>
        <w:tc>
          <w:tcPr>
            <w:tcW w:w="2100" w:type="dxa"/>
          </w:tcPr>
          <w:p w14:paraId="0DF9E026" w14:textId="4713B3EE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6CAB982D" w:rsidR="00222E62" w:rsidRDefault="00222E62" w:rsidP="00222E62"/>
        </w:tc>
        <w:tc>
          <w:tcPr>
            <w:tcW w:w="2429" w:type="dxa"/>
          </w:tcPr>
          <w:p w14:paraId="5BE56A30" w14:textId="77777777" w:rsidR="00222E62" w:rsidRDefault="00222E62" w:rsidP="00222E62"/>
        </w:tc>
      </w:tr>
      <w:tr w:rsidR="00222E62" w14:paraId="31406D21" w14:textId="77777777" w:rsidTr="00713B84">
        <w:tc>
          <w:tcPr>
            <w:tcW w:w="2642" w:type="dxa"/>
          </w:tcPr>
          <w:p w14:paraId="13A0A3BA" w14:textId="77777777" w:rsidR="00222E62" w:rsidRDefault="00222E62" w:rsidP="00222E62"/>
        </w:tc>
        <w:tc>
          <w:tcPr>
            <w:tcW w:w="2703" w:type="dxa"/>
          </w:tcPr>
          <w:p w14:paraId="14B5E014" w14:textId="687FF020" w:rsidR="00222E62" w:rsidRDefault="00222E62" w:rsidP="00222E62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222E62" w:rsidRDefault="00222E62" w:rsidP="00222E62"/>
        </w:tc>
        <w:tc>
          <w:tcPr>
            <w:tcW w:w="2100" w:type="dxa"/>
          </w:tcPr>
          <w:p w14:paraId="2DDDC77C" w14:textId="59EA93B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CC287BA" w:rsidR="00222E62" w:rsidRDefault="00222E62" w:rsidP="00222E62"/>
        </w:tc>
        <w:tc>
          <w:tcPr>
            <w:tcW w:w="2429" w:type="dxa"/>
          </w:tcPr>
          <w:p w14:paraId="251BA973" w14:textId="77777777" w:rsidR="00222E62" w:rsidRDefault="00222E62" w:rsidP="00222E62"/>
        </w:tc>
      </w:tr>
      <w:tr w:rsidR="00222E62" w14:paraId="49C72180" w14:textId="77777777" w:rsidTr="00713B84">
        <w:tc>
          <w:tcPr>
            <w:tcW w:w="2642" w:type="dxa"/>
          </w:tcPr>
          <w:p w14:paraId="371C4C2B" w14:textId="1CC28661" w:rsidR="00222E62" w:rsidRDefault="00222E62" w:rsidP="00222E62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2B6B4D7B" w14:textId="77777777" w:rsidR="00222E62" w:rsidRDefault="00222E62" w:rsidP="00222E62"/>
        </w:tc>
        <w:tc>
          <w:tcPr>
            <w:tcW w:w="2100" w:type="dxa"/>
          </w:tcPr>
          <w:p w14:paraId="75CA658C" w14:textId="1730CC2A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52B7F1F7" w:rsidR="00222E62" w:rsidRDefault="00222E62" w:rsidP="00222E62"/>
        </w:tc>
        <w:tc>
          <w:tcPr>
            <w:tcW w:w="2429" w:type="dxa"/>
          </w:tcPr>
          <w:p w14:paraId="59F93DDD" w14:textId="77777777" w:rsidR="00222E62" w:rsidRDefault="00222E62" w:rsidP="00222E62"/>
        </w:tc>
      </w:tr>
      <w:tr w:rsidR="00222E62" w14:paraId="645E5DEA" w14:textId="77777777" w:rsidTr="00713B84">
        <w:tc>
          <w:tcPr>
            <w:tcW w:w="2642" w:type="dxa"/>
          </w:tcPr>
          <w:p w14:paraId="314763CE" w14:textId="77777777" w:rsidR="00222E62" w:rsidRDefault="00222E62" w:rsidP="00222E62"/>
        </w:tc>
        <w:tc>
          <w:tcPr>
            <w:tcW w:w="2703" w:type="dxa"/>
          </w:tcPr>
          <w:p w14:paraId="1ACCACD5" w14:textId="1E1D4E86" w:rsidR="00222E62" w:rsidRDefault="00222E62" w:rsidP="00222E62">
            <w:r>
              <w:t>Men</w:t>
            </w:r>
          </w:p>
        </w:tc>
        <w:tc>
          <w:tcPr>
            <w:tcW w:w="2320" w:type="dxa"/>
          </w:tcPr>
          <w:p w14:paraId="390F166F" w14:textId="77777777" w:rsidR="00222E62" w:rsidRDefault="00222E62" w:rsidP="00222E62"/>
        </w:tc>
        <w:tc>
          <w:tcPr>
            <w:tcW w:w="2100" w:type="dxa"/>
          </w:tcPr>
          <w:p w14:paraId="38E6F9EF" w14:textId="46151916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17C342D1" w:rsidR="00222E62" w:rsidRDefault="00222E62" w:rsidP="00222E62"/>
        </w:tc>
        <w:tc>
          <w:tcPr>
            <w:tcW w:w="2429" w:type="dxa"/>
          </w:tcPr>
          <w:p w14:paraId="2FAEEA46" w14:textId="77777777" w:rsidR="00222E62" w:rsidRDefault="00222E62" w:rsidP="00222E62"/>
        </w:tc>
      </w:tr>
      <w:tr w:rsidR="00222E62" w14:paraId="327AC740" w14:textId="77777777" w:rsidTr="00713B84">
        <w:tc>
          <w:tcPr>
            <w:tcW w:w="2642" w:type="dxa"/>
          </w:tcPr>
          <w:p w14:paraId="1BEFEEA8" w14:textId="77777777" w:rsidR="00222E62" w:rsidRDefault="00222E62" w:rsidP="00222E62"/>
        </w:tc>
        <w:tc>
          <w:tcPr>
            <w:tcW w:w="2703" w:type="dxa"/>
          </w:tcPr>
          <w:p w14:paraId="5EA375D4" w14:textId="2C739B97" w:rsidR="00222E62" w:rsidRDefault="00222E62" w:rsidP="00222E62">
            <w:r>
              <w:t>Lesbians</w:t>
            </w:r>
          </w:p>
        </w:tc>
        <w:tc>
          <w:tcPr>
            <w:tcW w:w="2320" w:type="dxa"/>
          </w:tcPr>
          <w:p w14:paraId="3FEC2058" w14:textId="77777777" w:rsidR="00222E62" w:rsidRDefault="00222E62" w:rsidP="00222E62"/>
        </w:tc>
        <w:tc>
          <w:tcPr>
            <w:tcW w:w="2100" w:type="dxa"/>
          </w:tcPr>
          <w:p w14:paraId="6A2FD8D9" w14:textId="327032D1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4F5AD1CF" w:rsidR="00222E62" w:rsidRDefault="00222E62" w:rsidP="00222E62"/>
        </w:tc>
        <w:tc>
          <w:tcPr>
            <w:tcW w:w="2429" w:type="dxa"/>
          </w:tcPr>
          <w:p w14:paraId="31EB7F2E" w14:textId="77777777" w:rsidR="00222E62" w:rsidRDefault="00222E62" w:rsidP="00222E62"/>
        </w:tc>
      </w:tr>
      <w:tr w:rsidR="00222E62" w14:paraId="031C103F" w14:textId="77777777" w:rsidTr="00713B84">
        <w:tc>
          <w:tcPr>
            <w:tcW w:w="2642" w:type="dxa"/>
          </w:tcPr>
          <w:p w14:paraId="39780D56" w14:textId="40CB56DB" w:rsidR="00222E62" w:rsidRDefault="00222E62" w:rsidP="00222E62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222E62" w:rsidRDefault="00222E62" w:rsidP="00222E62">
            <w:r>
              <w:t>Women</w:t>
            </w:r>
          </w:p>
        </w:tc>
        <w:tc>
          <w:tcPr>
            <w:tcW w:w="2320" w:type="dxa"/>
          </w:tcPr>
          <w:p w14:paraId="387B3F00" w14:textId="77777777" w:rsidR="00222E62" w:rsidRDefault="00222E62" w:rsidP="00222E62"/>
        </w:tc>
        <w:tc>
          <w:tcPr>
            <w:tcW w:w="2100" w:type="dxa"/>
          </w:tcPr>
          <w:p w14:paraId="7021C4F5" w14:textId="155A3CE4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8BB9A79" w:rsidR="00222E62" w:rsidRDefault="00222E62" w:rsidP="00222E62"/>
        </w:tc>
        <w:tc>
          <w:tcPr>
            <w:tcW w:w="2429" w:type="dxa"/>
          </w:tcPr>
          <w:p w14:paraId="2E9772CE" w14:textId="77777777" w:rsidR="00222E62" w:rsidRDefault="00222E62" w:rsidP="00222E62"/>
        </w:tc>
      </w:tr>
      <w:tr w:rsidR="00222E62" w14:paraId="6DDC4ED1" w14:textId="77777777" w:rsidTr="00713B84">
        <w:tc>
          <w:tcPr>
            <w:tcW w:w="2642" w:type="dxa"/>
          </w:tcPr>
          <w:p w14:paraId="684760E8" w14:textId="0B27846D" w:rsidR="00222E62" w:rsidRDefault="00222E62" w:rsidP="00222E62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222E62" w:rsidRDefault="00222E62" w:rsidP="00222E62">
            <w:r>
              <w:t>See below</w:t>
            </w:r>
          </w:p>
        </w:tc>
        <w:tc>
          <w:tcPr>
            <w:tcW w:w="2320" w:type="dxa"/>
          </w:tcPr>
          <w:p w14:paraId="434B486D" w14:textId="77777777" w:rsidR="00222E62" w:rsidRDefault="00222E62" w:rsidP="00222E62"/>
        </w:tc>
        <w:tc>
          <w:tcPr>
            <w:tcW w:w="2100" w:type="dxa"/>
          </w:tcPr>
          <w:p w14:paraId="64107008" w14:textId="41DEBCD0" w:rsidR="00222E62" w:rsidRDefault="00222E62" w:rsidP="00222E62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124E61F3" w:rsidR="00222E62" w:rsidRDefault="00222E62" w:rsidP="00222E62"/>
        </w:tc>
        <w:tc>
          <w:tcPr>
            <w:tcW w:w="2429" w:type="dxa"/>
          </w:tcPr>
          <w:p w14:paraId="6E1D1C87" w14:textId="77777777" w:rsidR="00222E62" w:rsidRDefault="00222E62" w:rsidP="00222E62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84BB586" w14:textId="77777777" w:rsidR="00222E62" w:rsidRP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>Race:</w:t>
            </w:r>
          </w:p>
          <w:p w14:paraId="7B7FA5DA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service where someone speaking a different language can speak with advisors by using Language Line.</w:t>
            </w:r>
          </w:p>
          <w:p w14:paraId="6B0A83AB" w14:textId="77777777" w:rsidR="00222E62" w:rsidRPr="00222E62" w:rsidRDefault="00222E62" w:rsidP="00222E62">
            <w:pPr>
              <w:rPr>
                <w:bCs/>
                <w:szCs w:val="24"/>
              </w:rPr>
            </w:pPr>
          </w:p>
          <w:p w14:paraId="0D6A317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variety of methods for contacting us if English is not the first language such as Email/Phone/Writing/Web Forms</w:t>
            </w:r>
          </w:p>
          <w:p w14:paraId="494795A0" w14:textId="77777777" w:rsidR="00236930" w:rsidRDefault="00236930" w:rsidP="00236930"/>
          <w:p w14:paraId="3D3C39DE" w14:textId="77777777" w:rsidR="00222E62" w:rsidRPr="00222E62" w:rsidRDefault="00222E62" w:rsidP="00222E62">
            <w:pPr>
              <w:rPr>
                <w:b/>
                <w:sz w:val="18"/>
                <w:szCs w:val="18"/>
              </w:rPr>
            </w:pPr>
            <w:r w:rsidRPr="00222E62">
              <w:rPr>
                <w:b/>
                <w:sz w:val="18"/>
                <w:szCs w:val="18"/>
              </w:rPr>
              <w:t xml:space="preserve">Disability: </w:t>
            </w:r>
          </w:p>
          <w:p w14:paraId="61B00B03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39A3596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have online services such as Connect &amp; Serve and E-Billing for those who are unable to hear/speak. They can receive their bills online and access their account online to avoid them having to visit us or speak to us.</w:t>
            </w:r>
          </w:p>
          <w:p w14:paraId="4AAA23D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7C2E550F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service where customers can pre book a visit at our libraries/shops to speak to someone about their Business Rates where we have adaptions in place to assist customers with disabilities such as ramps, wide doors and hearing loop systems etc.</w:t>
            </w:r>
          </w:p>
          <w:p w14:paraId="18820BC0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50097C6C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can provide bills in large print and braille at a customer’s request.</w:t>
            </w:r>
          </w:p>
          <w:p w14:paraId="16F71381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1FB3EE4B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offer a range of methods for making payment such as online or over the telephone for those unable to visit us to pay in cash.</w:t>
            </w:r>
          </w:p>
          <w:p w14:paraId="54C97016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</w:p>
          <w:p w14:paraId="4EDDE8B6" w14:textId="77777777" w:rsidR="00222E62" w:rsidRPr="00222E62" w:rsidRDefault="00222E62" w:rsidP="00222E62">
            <w:pPr>
              <w:rPr>
                <w:bCs/>
                <w:sz w:val="18"/>
                <w:szCs w:val="18"/>
              </w:rPr>
            </w:pPr>
            <w:r w:rsidRPr="00222E62">
              <w:rPr>
                <w:bCs/>
                <w:sz w:val="18"/>
                <w:szCs w:val="18"/>
              </w:rPr>
              <w:t>We ensure our letters/bills are of easy read for those with learning disabilities.</w:t>
            </w:r>
          </w:p>
          <w:p w14:paraId="7D66EA66" w14:textId="77777777" w:rsidR="00222E62" w:rsidRDefault="00222E62" w:rsidP="00236930"/>
          <w:p w14:paraId="2F97E5CC" w14:textId="77777777" w:rsidR="00222E62" w:rsidRDefault="00222E62" w:rsidP="00236930"/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77777777" w:rsidR="00236930" w:rsidRDefault="00236930" w:rsidP="00236930"/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565DF6D9" w:rsidR="002A1955" w:rsidRDefault="002A1955" w:rsidP="00EE0E55"/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2DA82385" w:rsidR="00AE6E4F" w:rsidRPr="006C4DCC" w:rsidRDefault="006C4DCC" w:rsidP="00AE6E4F">
            <w:pPr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</w:pPr>
            <w:r w:rsidRPr="006C4DCC">
              <w:rPr>
                <w:rFonts w:eastAsia="Times New Roman" w:cs="Times New Roman"/>
                <w:bCs/>
                <w:kern w:val="0"/>
                <w:sz w:val="22"/>
                <w:lang w:val="en-US"/>
                <w14:ligatures w14:val="none"/>
              </w:rPr>
              <w:t xml:space="preserve">Any ongoing policy changes will be reviewed with an EQIA </w:t>
            </w:r>
          </w:p>
          <w:p w14:paraId="66DBB4A0" w14:textId="77777777" w:rsidR="00AE6E4F" w:rsidRPr="006C4DCC" w:rsidRDefault="00AE6E4F" w:rsidP="00EE0E55">
            <w:pPr>
              <w:rPr>
                <w:bCs/>
              </w:rPr>
            </w:pPr>
          </w:p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53ED95E7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19.03.2025 </w:t>
            </w:r>
          </w:p>
          <w:p w14:paraId="6426ED7B" w14:textId="3E457AF7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98D3B5F" w:rsidR="00AE6E4F" w:rsidRDefault="00222E62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19.03.2026</w:t>
            </w:r>
          </w:p>
          <w:p w14:paraId="1EE5C424" w14:textId="3A2A437C" w:rsidR="00AE6E4F" w:rsidRP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87C738" w14:textId="77777777" w:rsidR="00383B0B" w:rsidRDefault="00383B0B" w:rsidP="00F85A90"/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8" w:name="_Toc167112761"/>
      <w:r>
        <w:t>Legislation</w:t>
      </w:r>
      <w:bookmarkEnd w:id="8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92104"/>
    <w:rsid w:val="000F363D"/>
    <w:rsid w:val="000F7582"/>
    <w:rsid w:val="00126205"/>
    <w:rsid w:val="001E0ADF"/>
    <w:rsid w:val="001F64C6"/>
    <w:rsid w:val="00222E62"/>
    <w:rsid w:val="00233A25"/>
    <w:rsid w:val="00236930"/>
    <w:rsid w:val="002A1955"/>
    <w:rsid w:val="002F602A"/>
    <w:rsid w:val="003169C4"/>
    <w:rsid w:val="003724ED"/>
    <w:rsid w:val="00383B0B"/>
    <w:rsid w:val="003D39F3"/>
    <w:rsid w:val="003D5A86"/>
    <w:rsid w:val="00483F7B"/>
    <w:rsid w:val="00484FE3"/>
    <w:rsid w:val="004D02B7"/>
    <w:rsid w:val="004E6CFD"/>
    <w:rsid w:val="005316D0"/>
    <w:rsid w:val="005334F9"/>
    <w:rsid w:val="00554750"/>
    <w:rsid w:val="00580F40"/>
    <w:rsid w:val="005A0185"/>
    <w:rsid w:val="005B726B"/>
    <w:rsid w:val="005C7954"/>
    <w:rsid w:val="00634BED"/>
    <w:rsid w:val="0067678F"/>
    <w:rsid w:val="00695B8E"/>
    <w:rsid w:val="006A7EC7"/>
    <w:rsid w:val="006B2A0C"/>
    <w:rsid w:val="006C4DCC"/>
    <w:rsid w:val="006D378A"/>
    <w:rsid w:val="00713B84"/>
    <w:rsid w:val="00737374"/>
    <w:rsid w:val="008D705C"/>
    <w:rsid w:val="00933FF8"/>
    <w:rsid w:val="009D2978"/>
    <w:rsid w:val="009E55B4"/>
    <w:rsid w:val="00A4363E"/>
    <w:rsid w:val="00A96796"/>
    <w:rsid w:val="00AE6E4F"/>
    <w:rsid w:val="00B62A71"/>
    <w:rsid w:val="00B82EF2"/>
    <w:rsid w:val="00B90269"/>
    <w:rsid w:val="00C01148"/>
    <w:rsid w:val="00C815E0"/>
    <w:rsid w:val="00CD0CD8"/>
    <w:rsid w:val="00D6047D"/>
    <w:rsid w:val="00DE0479"/>
    <w:rsid w:val="00E02321"/>
    <w:rsid w:val="00EE0E55"/>
    <w:rsid w:val="00F845F2"/>
    <w:rsid w:val="00F85A90"/>
    <w:rsid w:val="00FB2E07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efinition-of-disability-under-equality-act-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4.xml><?xml version="1.0" encoding="utf-8"?>
<ds:datastoreItem xmlns:ds="http://schemas.openxmlformats.org/officeDocument/2006/customXml" ds:itemID="{25146CE1-2747-473A-9E20-78C122AC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3</cp:revision>
  <dcterms:created xsi:type="dcterms:W3CDTF">2025-06-10T08:46:00Z</dcterms:created>
  <dcterms:modified xsi:type="dcterms:W3CDTF">2025-06-10T08:46:00Z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