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4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4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 xml:space="preserve">face to accessing services (research, consultations, complaints and/or </w:t>
      </w:r>
      <w:proofErr w:type="gramStart"/>
      <w:r w:rsidRPr="002F602A">
        <w:t>consult</w:t>
      </w:r>
      <w:proofErr w:type="gramEnd"/>
      <w:r w:rsidRPr="002F602A">
        <w:t xml:space="preserve">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4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4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4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2AE75618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50F4E6D0" w14:textId="6B5D7AD5" w:rsidR="000F363D" w:rsidRDefault="7E9F6257" w:rsidP="2AE75618">
            <w:pPr>
              <w:pStyle w:val="BodyText"/>
              <w:spacing w:before="0" w:line="259" w:lineRule="auto"/>
              <w:ind w:left="0"/>
            </w:pPr>
            <w:r>
              <w:t>Internal Audit Charter</w:t>
            </w:r>
          </w:p>
        </w:tc>
      </w:tr>
      <w:tr w:rsidR="001E0ADF" w14:paraId="6DC1AC26" w14:textId="77777777" w:rsidTr="2AE75618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7A8869AA" w:rsidR="001E0ADF" w:rsidRDefault="0002643D" w:rsidP="009D2978">
            <w:pPr>
              <w:pStyle w:val="BodyText"/>
              <w:spacing w:before="0"/>
              <w:ind w:left="0"/>
            </w:pPr>
            <w:r w:rsidRPr="0002643D">
              <w:rPr>
                <w:lang w:val="en-GB"/>
              </w:rPr>
              <w:t>Review of existing policy using the new Equality Impact Assessment (EIA) template</w:t>
            </w:r>
          </w:p>
        </w:tc>
      </w:tr>
      <w:tr w:rsidR="001E0ADF" w14:paraId="71EB3B29" w14:textId="77777777" w:rsidTr="2AE75618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32C60644" w14:textId="14D4F6F3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65F4C548" w14:textId="77777777" w:rsidTr="2AE75618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6A980B42" w14:textId="2E142B46" w:rsidR="001E0ADF" w:rsidRDefault="0002643D" w:rsidP="009D2978">
            <w:pPr>
              <w:pStyle w:val="BodyText"/>
              <w:spacing w:before="0"/>
              <w:ind w:left="0"/>
            </w:pPr>
            <w:r>
              <w:t>Deborah Moss, Head of Internal Audit</w:t>
            </w:r>
          </w:p>
        </w:tc>
      </w:tr>
      <w:tr w:rsidR="001E0ADF" w14:paraId="3408785E" w14:textId="77777777" w:rsidTr="2AE75618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63D2BC8D" w:rsidR="001E0ADF" w:rsidRDefault="0002643D" w:rsidP="009D2978">
            <w:pPr>
              <w:pStyle w:val="BodyText"/>
              <w:spacing w:before="0"/>
              <w:ind w:left="0"/>
            </w:pPr>
            <w:r>
              <w:t>Peter Catchpole, Corporate Director &amp; S.151 Officer</w:t>
            </w: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4EAEF207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A63872C" w14:textId="17377A03" w:rsidR="00695B8E" w:rsidRDefault="28C2233D" w:rsidP="4EAEF207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 w:rsidRPr="4EAEF207">
              <w:rPr>
                <w:sz w:val="22"/>
                <w:szCs w:val="22"/>
              </w:rPr>
              <w:t xml:space="preserve">The </w:t>
            </w:r>
            <w:r w:rsidRPr="4EAEF207">
              <w:rPr>
                <w:b/>
                <w:bCs/>
                <w:sz w:val="22"/>
                <w:szCs w:val="22"/>
              </w:rPr>
              <w:t>Internal Audit Charter</w:t>
            </w:r>
            <w:r w:rsidRPr="4EAEF207">
              <w:rPr>
                <w:sz w:val="22"/>
                <w:szCs w:val="22"/>
              </w:rPr>
              <w:t xml:space="preserve"> is a formal document that defines the purpose, authority, and responsibility of the</w:t>
            </w:r>
            <w:r w:rsidR="44432B16" w:rsidRPr="4EAEF207">
              <w:rPr>
                <w:sz w:val="22"/>
                <w:szCs w:val="22"/>
              </w:rPr>
              <w:t xml:space="preserve"> </w:t>
            </w:r>
            <w:r w:rsidRPr="4EAEF207">
              <w:rPr>
                <w:sz w:val="22"/>
                <w:szCs w:val="22"/>
              </w:rPr>
              <w:t>internal a</w:t>
            </w:r>
            <w:r w:rsidR="7F363916" w:rsidRPr="4EAEF207">
              <w:rPr>
                <w:sz w:val="22"/>
                <w:szCs w:val="22"/>
              </w:rPr>
              <w:t>udit</w:t>
            </w:r>
            <w:r w:rsidRPr="4EAEF207">
              <w:rPr>
                <w:sz w:val="22"/>
                <w:szCs w:val="22"/>
              </w:rPr>
              <w:t xml:space="preserve"> function within the Council.</w:t>
            </w:r>
            <w:r w:rsidR="1D7F2F3D" w:rsidRPr="4EAEF207">
              <w:rPr>
                <w:sz w:val="22"/>
                <w:szCs w:val="22"/>
              </w:rPr>
              <w:t xml:space="preserve"> It </w:t>
            </w:r>
            <w:proofErr w:type="gramStart"/>
            <w:r w:rsidR="1D7F2F3D" w:rsidRPr="4EAEF207">
              <w:rPr>
                <w:sz w:val="22"/>
                <w:szCs w:val="22"/>
              </w:rPr>
              <w:t>set</w:t>
            </w:r>
            <w:proofErr w:type="gramEnd"/>
            <w:r w:rsidR="1D7F2F3D" w:rsidRPr="4EAEF207">
              <w:rPr>
                <w:sz w:val="22"/>
                <w:szCs w:val="22"/>
              </w:rPr>
              <w:t xml:space="preserve"> out the following:</w:t>
            </w:r>
          </w:p>
          <w:p w14:paraId="36DE8E74" w14:textId="4A8FAD89" w:rsidR="00695B8E" w:rsidRDefault="1D7F2F3D" w:rsidP="4EAEF20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sz w:val="22"/>
                <w:lang w:val="en-US"/>
              </w:rPr>
            </w:pPr>
            <w:r w:rsidRPr="4EAEF207">
              <w:rPr>
                <w:b/>
                <w:bCs/>
                <w:sz w:val="22"/>
                <w:lang w:val="en-US"/>
              </w:rPr>
              <w:t>Clarifies the audit function's role</w:t>
            </w:r>
            <w:r w:rsidRPr="4EAEF207">
              <w:rPr>
                <w:sz w:val="22"/>
                <w:lang w:val="en-US"/>
              </w:rPr>
              <w:t>: Outlines how internal audit contributes to governance, risk management, and internal control.</w:t>
            </w:r>
          </w:p>
          <w:p w14:paraId="40347912" w14:textId="37D2B2EF" w:rsidR="00695B8E" w:rsidRDefault="1D7F2F3D" w:rsidP="4EAEF20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sz w:val="22"/>
                <w:lang w:val="en-US"/>
              </w:rPr>
            </w:pPr>
            <w:r w:rsidRPr="4EAEF207">
              <w:rPr>
                <w:b/>
                <w:bCs/>
                <w:sz w:val="22"/>
                <w:lang w:val="en-US"/>
              </w:rPr>
              <w:t>Establishes authority</w:t>
            </w:r>
            <w:r w:rsidRPr="4EAEF207">
              <w:rPr>
                <w:sz w:val="22"/>
                <w:lang w:val="en-US"/>
              </w:rPr>
              <w:t xml:space="preserve">: Grants </w:t>
            </w:r>
            <w:bookmarkStart w:id="2" w:name="_Int_bXEkgeU3"/>
            <w:proofErr w:type="gramStart"/>
            <w:r w:rsidRPr="4EAEF207">
              <w:rPr>
                <w:sz w:val="22"/>
                <w:lang w:val="en-US"/>
              </w:rPr>
              <w:t>auditors</w:t>
            </w:r>
            <w:bookmarkEnd w:id="2"/>
            <w:proofErr w:type="gramEnd"/>
            <w:r w:rsidRPr="4EAEF207">
              <w:rPr>
                <w:sz w:val="22"/>
                <w:lang w:val="en-US"/>
              </w:rPr>
              <w:t xml:space="preserve"> access to records, personnel, and physical properties relevant to audits.</w:t>
            </w:r>
          </w:p>
          <w:p w14:paraId="0D3B8100" w14:textId="24938D67" w:rsidR="00695B8E" w:rsidRDefault="1D7F2F3D" w:rsidP="4EAEF20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sz w:val="22"/>
                <w:lang w:val="en-US"/>
              </w:rPr>
            </w:pPr>
            <w:r w:rsidRPr="4EAEF207">
              <w:rPr>
                <w:b/>
                <w:bCs/>
                <w:sz w:val="22"/>
                <w:lang w:val="en-US"/>
              </w:rPr>
              <w:t>Defines responsibilities</w:t>
            </w:r>
            <w:r w:rsidRPr="4EAEF207">
              <w:rPr>
                <w:sz w:val="22"/>
                <w:lang w:val="en-US"/>
              </w:rPr>
              <w:t>: Specifies the scope of work, including assurance and consulting activities.</w:t>
            </w:r>
          </w:p>
          <w:p w14:paraId="7D1EBAF6" w14:textId="147AFC58" w:rsidR="00695B8E" w:rsidRDefault="1D7F2F3D" w:rsidP="4EAEF20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sz w:val="22"/>
                <w:lang w:val="en-US"/>
              </w:rPr>
            </w:pPr>
            <w:r w:rsidRPr="4EAEF207">
              <w:rPr>
                <w:b/>
                <w:bCs/>
                <w:sz w:val="22"/>
                <w:lang w:val="en-US"/>
              </w:rPr>
              <w:t>Ensures independence</w:t>
            </w:r>
            <w:r w:rsidRPr="4EAEF207">
              <w:rPr>
                <w:sz w:val="22"/>
                <w:lang w:val="en-US"/>
              </w:rPr>
              <w:t xml:space="preserve">: Reinforces the auditor's </w:t>
            </w:r>
            <w:proofErr w:type="gramStart"/>
            <w:r w:rsidRPr="4EAEF207">
              <w:rPr>
                <w:sz w:val="22"/>
                <w:lang w:val="en-US"/>
              </w:rPr>
              <w:t>objectivity</w:t>
            </w:r>
            <w:proofErr w:type="gramEnd"/>
            <w:r w:rsidRPr="4EAEF207">
              <w:rPr>
                <w:sz w:val="22"/>
                <w:lang w:val="en-US"/>
              </w:rPr>
              <w:t xml:space="preserve"> by defining reporting lines—typically to the audit committee or board.</w:t>
            </w:r>
          </w:p>
          <w:p w14:paraId="5D59A6D1" w14:textId="0E89EFBB" w:rsidR="00695B8E" w:rsidRDefault="1D7F2F3D" w:rsidP="4EAEF207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sz w:val="22"/>
                <w:lang w:val="en-US"/>
              </w:rPr>
            </w:pPr>
            <w:proofErr w:type="gramStart"/>
            <w:r w:rsidRPr="4EAEF207">
              <w:rPr>
                <w:b/>
                <w:bCs/>
                <w:sz w:val="22"/>
                <w:lang w:val="en-US"/>
              </w:rPr>
              <w:t>Sets</w:t>
            </w:r>
            <w:proofErr w:type="gramEnd"/>
            <w:r w:rsidRPr="4EAEF207">
              <w:rPr>
                <w:b/>
                <w:bCs/>
                <w:sz w:val="22"/>
                <w:lang w:val="en-US"/>
              </w:rPr>
              <w:t xml:space="preserve"> expectations</w:t>
            </w:r>
            <w:r w:rsidRPr="4EAEF207">
              <w:rPr>
                <w:sz w:val="22"/>
                <w:lang w:val="en-US"/>
              </w:rPr>
              <w:t xml:space="preserve">: Aligns internal audit activities with </w:t>
            </w:r>
            <w:proofErr w:type="spellStart"/>
            <w:r w:rsidRPr="4EAEF207">
              <w:rPr>
                <w:sz w:val="22"/>
                <w:lang w:val="en-US"/>
              </w:rPr>
              <w:t>organisational</w:t>
            </w:r>
            <w:proofErr w:type="spellEnd"/>
            <w:r w:rsidRPr="4EAEF207">
              <w:rPr>
                <w:sz w:val="22"/>
                <w:lang w:val="en-US"/>
              </w:rPr>
              <w:t xml:space="preserve"> goals and professional standards.</w:t>
            </w:r>
          </w:p>
          <w:p w14:paraId="33D81480" w14:textId="5A656C09" w:rsidR="00695B8E" w:rsidRDefault="00695B8E" w:rsidP="2AE7561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700AF578" w14:textId="38C52839" w:rsidR="4EAEF207" w:rsidRDefault="4EAEF207" w:rsidP="4EAEF207">
      <w:pPr>
        <w:pStyle w:val="Heading2"/>
      </w:pPr>
    </w:p>
    <w:p w14:paraId="31FAF694" w14:textId="566DF65C" w:rsidR="002F602A" w:rsidRDefault="002F602A" w:rsidP="001E0ADF">
      <w:pPr>
        <w:pStyle w:val="Heading2"/>
      </w:pPr>
    </w:p>
    <w:p w14:paraId="6040ED0F" w14:textId="1B34F038" w:rsidR="002F602A" w:rsidRDefault="001E0ADF" w:rsidP="4EAEF207">
      <w:r>
        <w:br w:type="page"/>
      </w:r>
    </w:p>
    <w:p w14:paraId="115BD1C4" w14:textId="49D9060D" w:rsidR="002F602A" w:rsidRDefault="001E0ADF" w:rsidP="001E0ADF">
      <w:pPr>
        <w:pStyle w:val="Heading2"/>
      </w:pPr>
      <w:bookmarkStart w:id="3" w:name="_Toc167112757"/>
      <w:r>
        <w:lastRenderedPageBreak/>
        <w:t>Section 2: Gathering Evidence and Stakeholder Engagement</w:t>
      </w:r>
      <w:bookmarkEnd w:id="3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4EAEF207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>consultation has been completed, please note the 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4EAEF207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2AD7BB6C" w:rsidR="00CD0CD8" w:rsidRDefault="5A962240" w:rsidP="4EAEF207">
            <w:pPr>
              <w:tabs>
                <w:tab w:val="left" w:pos="1620"/>
              </w:tabs>
              <w:rPr>
                <w:rFonts w:cs="Arial"/>
              </w:rPr>
            </w:pPr>
            <w:r w:rsidRPr="4EAEF207">
              <w:rPr>
                <w:rFonts w:cs="Arial"/>
              </w:rPr>
              <w:t>Public Sector Internal Audit Standards (PSIAS)</w:t>
            </w: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4EAEF207">
        <w:tc>
          <w:tcPr>
            <w:tcW w:w="4649" w:type="dxa"/>
          </w:tcPr>
          <w:p w14:paraId="644A1D75" w14:textId="1DB9B033" w:rsidR="001E0ADF" w:rsidRDefault="5A962240" w:rsidP="4EAEF207">
            <w:pPr>
              <w:rPr>
                <w:rFonts w:cs="Arial"/>
              </w:rPr>
            </w:pPr>
            <w:r w:rsidRPr="4EAEF207">
              <w:rPr>
                <w:rFonts w:cs="Arial"/>
              </w:rPr>
              <w:t>CIPFA guidance and Code of Practice, Code of Ethics, etc</w:t>
            </w: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4EAEF207">
        <w:tc>
          <w:tcPr>
            <w:tcW w:w="4649" w:type="dxa"/>
          </w:tcPr>
          <w:p w14:paraId="29950C49" w14:textId="31E8D5FC" w:rsidR="001E0ADF" w:rsidRDefault="5A962240" w:rsidP="4EAEF207">
            <w:pPr>
              <w:rPr>
                <w:rFonts w:cs="Arial"/>
              </w:rPr>
            </w:pPr>
            <w:r w:rsidRPr="4EAEF207">
              <w:rPr>
                <w:rFonts w:cs="Arial"/>
              </w:rPr>
              <w:t>IIA Guidance, Code of Ethics</w:t>
            </w: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4EAEF207" w14:paraId="7D874110" w14:textId="77777777" w:rsidTr="4EAEF207">
        <w:trPr>
          <w:trHeight w:val="300"/>
        </w:trPr>
        <w:tc>
          <w:tcPr>
            <w:tcW w:w="4649" w:type="dxa"/>
          </w:tcPr>
          <w:p w14:paraId="6953F242" w14:textId="673EC650" w:rsidR="5A962240" w:rsidRDefault="5A962240" w:rsidP="4EAEF207">
            <w:pPr>
              <w:rPr>
                <w:rFonts w:cs="Arial"/>
              </w:rPr>
            </w:pPr>
            <w:r w:rsidRPr="4EAEF207">
              <w:rPr>
                <w:rFonts w:cs="Arial"/>
              </w:rPr>
              <w:t>S.151 Local Govt Act 1972</w:t>
            </w:r>
          </w:p>
        </w:tc>
        <w:tc>
          <w:tcPr>
            <w:tcW w:w="4649" w:type="dxa"/>
          </w:tcPr>
          <w:p w14:paraId="4AA1CE63" w14:textId="444E260F" w:rsidR="4EAEF207" w:rsidRDefault="4EAEF207" w:rsidP="4EAEF207">
            <w:pPr>
              <w:rPr>
                <w:rFonts w:cs="Arial"/>
              </w:rPr>
            </w:pPr>
          </w:p>
        </w:tc>
        <w:tc>
          <w:tcPr>
            <w:tcW w:w="5298" w:type="dxa"/>
          </w:tcPr>
          <w:p w14:paraId="3D8EB739" w14:textId="4758643F" w:rsidR="4EAEF207" w:rsidRDefault="4EAEF207" w:rsidP="4EAEF207">
            <w:pPr>
              <w:rPr>
                <w:rFonts w:cs="Arial"/>
              </w:rPr>
            </w:pPr>
          </w:p>
        </w:tc>
      </w:tr>
      <w:tr w:rsidR="4EAEF207" w14:paraId="401EF822" w14:textId="77777777" w:rsidTr="4EAEF207">
        <w:trPr>
          <w:trHeight w:val="300"/>
        </w:trPr>
        <w:tc>
          <w:tcPr>
            <w:tcW w:w="4649" w:type="dxa"/>
          </w:tcPr>
          <w:p w14:paraId="21BA01E0" w14:textId="460C1E51" w:rsidR="5A962240" w:rsidRDefault="5A962240" w:rsidP="4EAEF207">
            <w:pPr>
              <w:rPr>
                <w:rFonts w:cs="Arial"/>
              </w:rPr>
            </w:pPr>
            <w:r w:rsidRPr="4EAEF207">
              <w:rPr>
                <w:rFonts w:cs="Arial"/>
              </w:rPr>
              <w:t>Nolan Principles of Public Life</w:t>
            </w:r>
          </w:p>
        </w:tc>
        <w:tc>
          <w:tcPr>
            <w:tcW w:w="4649" w:type="dxa"/>
          </w:tcPr>
          <w:p w14:paraId="7D3701AC" w14:textId="7016AAD0" w:rsidR="4EAEF207" w:rsidRDefault="4EAEF207" w:rsidP="4EAEF207">
            <w:pPr>
              <w:rPr>
                <w:rFonts w:cs="Arial"/>
              </w:rPr>
            </w:pPr>
          </w:p>
        </w:tc>
        <w:tc>
          <w:tcPr>
            <w:tcW w:w="5298" w:type="dxa"/>
          </w:tcPr>
          <w:p w14:paraId="3F5B0404" w14:textId="71CB1400" w:rsidR="4EAEF207" w:rsidRDefault="4EAEF207" w:rsidP="4EAEF207">
            <w:pPr>
              <w:rPr>
                <w:rFonts w:cs="Arial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4EAEF207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7D60AEC6" w14:textId="0954C7D0" w:rsidR="00484FE3" w:rsidRDefault="4E5BEF47" w:rsidP="00484FE3">
            <w:pPr>
              <w:pStyle w:val="BodyText"/>
              <w:spacing w:before="0"/>
              <w:ind w:left="0"/>
            </w:pPr>
            <w:r>
              <w:t xml:space="preserve">The Internal Audit Charter will </w:t>
            </w:r>
            <w:r w:rsidR="1667D33A">
              <w:t>be</w:t>
            </w:r>
            <w:r>
              <w:t xml:space="preserve"> approv</w:t>
            </w:r>
            <w:r w:rsidR="15A62472">
              <w:t>ed by</w:t>
            </w:r>
            <w:r>
              <w:t xml:space="preserve"> the Audit &amp; Risk Management Committee.</w:t>
            </w: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4" w:name="_Toc167112758"/>
      <w:r>
        <w:lastRenderedPageBreak/>
        <w:t>Section 3: Assessment and Differential Impacts</w:t>
      </w:r>
      <w:bookmarkEnd w:id="4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7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7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7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1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7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713B84" w14:paraId="60766B0B" w14:textId="77777777" w:rsidTr="00713B84">
        <w:tc>
          <w:tcPr>
            <w:tcW w:w="2642" w:type="dxa"/>
          </w:tcPr>
          <w:p w14:paraId="3341862C" w14:textId="05457808" w:rsidR="00713B84" w:rsidRDefault="00713B84" w:rsidP="00713B84">
            <w:r>
              <w:t>Race</w:t>
            </w:r>
          </w:p>
        </w:tc>
        <w:tc>
          <w:tcPr>
            <w:tcW w:w="2703" w:type="dxa"/>
          </w:tcPr>
          <w:p w14:paraId="73C50F30" w14:textId="0E7AFFD9" w:rsidR="00713B84" w:rsidRDefault="00713B84" w:rsidP="00713B84">
            <w:r>
              <w:t xml:space="preserve">White </w:t>
            </w:r>
          </w:p>
        </w:tc>
        <w:tc>
          <w:tcPr>
            <w:tcW w:w="2320" w:type="dxa"/>
          </w:tcPr>
          <w:p w14:paraId="69E49008" w14:textId="77777777" w:rsidR="00713B84" w:rsidRDefault="00713B84" w:rsidP="00713B84"/>
        </w:tc>
        <w:tc>
          <w:tcPr>
            <w:tcW w:w="2100" w:type="dxa"/>
          </w:tcPr>
          <w:p w14:paraId="30100EEB" w14:textId="488F030C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0767CD2" w14:textId="13333F4C" w:rsidR="00713B84" w:rsidRDefault="00713B84" w:rsidP="00713B84"/>
        </w:tc>
        <w:tc>
          <w:tcPr>
            <w:tcW w:w="2429" w:type="dxa"/>
          </w:tcPr>
          <w:p w14:paraId="5C9F25B5" w14:textId="77777777" w:rsidR="00713B84" w:rsidRDefault="00713B84" w:rsidP="00713B84"/>
        </w:tc>
      </w:tr>
      <w:tr w:rsidR="00713B84" w14:paraId="0FB9C5E0" w14:textId="77777777" w:rsidTr="00713B84">
        <w:tc>
          <w:tcPr>
            <w:tcW w:w="2642" w:type="dxa"/>
          </w:tcPr>
          <w:p w14:paraId="0CBFDD78" w14:textId="77777777" w:rsidR="00713B84" w:rsidRDefault="00713B84" w:rsidP="00713B84"/>
        </w:tc>
        <w:tc>
          <w:tcPr>
            <w:tcW w:w="2703" w:type="dxa"/>
          </w:tcPr>
          <w:p w14:paraId="379FF213" w14:textId="512F6CDA" w:rsidR="00713B84" w:rsidRDefault="00713B84" w:rsidP="00713B84">
            <w:r>
              <w:t>Mixed or Multiple Ethnic Groups</w:t>
            </w:r>
          </w:p>
        </w:tc>
        <w:tc>
          <w:tcPr>
            <w:tcW w:w="2320" w:type="dxa"/>
          </w:tcPr>
          <w:p w14:paraId="0E16A68F" w14:textId="77777777" w:rsidR="00713B84" w:rsidRDefault="00713B84" w:rsidP="00713B84"/>
        </w:tc>
        <w:tc>
          <w:tcPr>
            <w:tcW w:w="2100" w:type="dxa"/>
          </w:tcPr>
          <w:p w14:paraId="5B6B151C" w14:textId="3174AD0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60085C2" w14:textId="7EDF6678" w:rsidR="00713B84" w:rsidRDefault="00713B84" w:rsidP="00713B84"/>
        </w:tc>
        <w:tc>
          <w:tcPr>
            <w:tcW w:w="2429" w:type="dxa"/>
          </w:tcPr>
          <w:p w14:paraId="2D1813BB" w14:textId="77777777" w:rsidR="00713B84" w:rsidRDefault="00713B84" w:rsidP="00713B84"/>
        </w:tc>
      </w:tr>
      <w:tr w:rsidR="00713B84" w14:paraId="6E71CA62" w14:textId="77777777" w:rsidTr="00713B84">
        <w:tc>
          <w:tcPr>
            <w:tcW w:w="2642" w:type="dxa"/>
          </w:tcPr>
          <w:p w14:paraId="1028A893" w14:textId="77777777" w:rsidR="00713B84" w:rsidRDefault="00713B84" w:rsidP="00713B84"/>
        </w:tc>
        <w:tc>
          <w:tcPr>
            <w:tcW w:w="2703" w:type="dxa"/>
          </w:tcPr>
          <w:p w14:paraId="02D7D95C" w14:textId="7EA2E142" w:rsidR="00713B84" w:rsidRDefault="00713B84" w:rsidP="00713B84">
            <w:r>
              <w:t>Asian</w:t>
            </w:r>
          </w:p>
        </w:tc>
        <w:tc>
          <w:tcPr>
            <w:tcW w:w="2320" w:type="dxa"/>
          </w:tcPr>
          <w:p w14:paraId="2DBA5C9D" w14:textId="77777777" w:rsidR="00713B84" w:rsidRDefault="00713B84" w:rsidP="00713B84"/>
        </w:tc>
        <w:tc>
          <w:tcPr>
            <w:tcW w:w="2100" w:type="dxa"/>
          </w:tcPr>
          <w:p w14:paraId="02A00B73" w14:textId="641E3B22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17FC3BC" w14:textId="309FEEFC" w:rsidR="00713B84" w:rsidRDefault="00713B84" w:rsidP="00713B84"/>
        </w:tc>
        <w:tc>
          <w:tcPr>
            <w:tcW w:w="2429" w:type="dxa"/>
          </w:tcPr>
          <w:p w14:paraId="7D84E5D3" w14:textId="77777777" w:rsidR="00713B84" w:rsidRDefault="00713B84" w:rsidP="00713B84"/>
        </w:tc>
      </w:tr>
      <w:tr w:rsidR="00713B84" w14:paraId="0B7047EF" w14:textId="77777777" w:rsidTr="00713B84">
        <w:tc>
          <w:tcPr>
            <w:tcW w:w="2642" w:type="dxa"/>
          </w:tcPr>
          <w:p w14:paraId="2777AE8C" w14:textId="77777777" w:rsidR="00713B84" w:rsidRDefault="00713B84" w:rsidP="00713B84"/>
        </w:tc>
        <w:tc>
          <w:tcPr>
            <w:tcW w:w="2703" w:type="dxa"/>
          </w:tcPr>
          <w:p w14:paraId="356FFB7D" w14:textId="354A3756" w:rsidR="00713B84" w:rsidRDefault="00713B84" w:rsidP="00713B84">
            <w:r>
              <w:t>African</w:t>
            </w:r>
          </w:p>
        </w:tc>
        <w:tc>
          <w:tcPr>
            <w:tcW w:w="2320" w:type="dxa"/>
          </w:tcPr>
          <w:p w14:paraId="240FC0F4" w14:textId="77777777" w:rsidR="00713B84" w:rsidRDefault="00713B84" w:rsidP="00713B84"/>
        </w:tc>
        <w:tc>
          <w:tcPr>
            <w:tcW w:w="2100" w:type="dxa"/>
          </w:tcPr>
          <w:p w14:paraId="578A42B4" w14:textId="76CF6888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B6A229E" w14:textId="3372D60B" w:rsidR="00713B84" w:rsidRDefault="00713B84" w:rsidP="00713B84"/>
        </w:tc>
        <w:tc>
          <w:tcPr>
            <w:tcW w:w="2429" w:type="dxa"/>
          </w:tcPr>
          <w:p w14:paraId="01BEAFF0" w14:textId="77777777" w:rsidR="00713B84" w:rsidRDefault="00713B84" w:rsidP="00713B84"/>
        </w:tc>
      </w:tr>
      <w:tr w:rsidR="00713B84" w14:paraId="03CD8CBC" w14:textId="77777777" w:rsidTr="00713B84">
        <w:tc>
          <w:tcPr>
            <w:tcW w:w="2642" w:type="dxa"/>
          </w:tcPr>
          <w:p w14:paraId="25BAB087" w14:textId="77777777" w:rsidR="00713B84" w:rsidRDefault="00713B84" w:rsidP="00713B84"/>
        </w:tc>
        <w:tc>
          <w:tcPr>
            <w:tcW w:w="2703" w:type="dxa"/>
          </w:tcPr>
          <w:p w14:paraId="0612E245" w14:textId="46606654" w:rsidR="00713B84" w:rsidRDefault="00713B84" w:rsidP="00713B84">
            <w:r>
              <w:t>Caribbean or Black</w:t>
            </w:r>
          </w:p>
        </w:tc>
        <w:tc>
          <w:tcPr>
            <w:tcW w:w="2320" w:type="dxa"/>
          </w:tcPr>
          <w:p w14:paraId="1D7F1F86" w14:textId="77777777" w:rsidR="00713B84" w:rsidRDefault="00713B84" w:rsidP="00713B84"/>
        </w:tc>
        <w:tc>
          <w:tcPr>
            <w:tcW w:w="2100" w:type="dxa"/>
          </w:tcPr>
          <w:p w14:paraId="1BAE5336" w14:textId="0DEA19CD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0E922D6" w14:textId="61F1FE1C" w:rsidR="00713B84" w:rsidRDefault="00713B84" w:rsidP="00713B84"/>
        </w:tc>
        <w:tc>
          <w:tcPr>
            <w:tcW w:w="2429" w:type="dxa"/>
          </w:tcPr>
          <w:p w14:paraId="7AEA2655" w14:textId="77777777" w:rsidR="00713B84" w:rsidRDefault="00713B84" w:rsidP="00713B84"/>
        </w:tc>
      </w:tr>
      <w:tr w:rsidR="00713B84" w14:paraId="381A2A74" w14:textId="77777777" w:rsidTr="00713B84">
        <w:tc>
          <w:tcPr>
            <w:tcW w:w="2642" w:type="dxa"/>
          </w:tcPr>
          <w:p w14:paraId="75AF0A79" w14:textId="77777777" w:rsidR="00713B84" w:rsidRDefault="00713B84" w:rsidP="00713B84"/>
        </w:tc>
        <w:tc>
          <w:tcPr>
            <w:tcW w:w="2703" w:type="dxa"/>
          </w:tcPr>
          <w:p w14:paraId="5731B9D1" w14:textId="2B5A883D" w:rsidR="00713B84" w:rsidRDefault="00713B84" w:rsidP="00713B84">
            <w:r>
              <w:t>Other Ethnic Group</w:t>
            </w:r>
          </w:p>
        </w:tc>
        <w:tc>
          <w:tcPr>
            <w:tcW w:w="2320" w:type="dxa"/>
          </w:tcPr>
          <w:p w14:paraId="29B27C7D" w14:textId="77777777" w:rsidR="00713B84" w:rsidRDefault="00713B84" w:rsidP="00713B84"/>
        </w:tc>
        <w:tc>
          <w:tcPr>
            <w:tcW w:w="2100" w:type="dxa"/>
          </w:tcPr>
          <w:p w14:paraId="5091EE0D" w14:textId="68EC92A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F5EA106" w14:textId="01E530E8" w:rsidR="00713B84" w:rsidRDefault="00713B84" w:rsidP="00713B84"/>
        </w:tc>
        <w:tc>
          <w:tcPr>
            <w:tcW w:w="2429" w:type="dxa"/>
          </w:tcPr>
          <w:p w14:paraId="2C544650" w14:textId="77777777" w:rsidR="00713B84" w:rsidRDefault="00713B84" w:rsidP="00713B84"/>
        </w:tc>
      </w:tr>
      <w:tr w:rsidR="00713B84" w14:paraId="0A38FDB3" w14:textId="77777777" w:rsidTr="00713B84">
        <w:tc>
          <w:tcPr>
            <w:tcW w:w="2642" w:type="dxa"/>
          </w:tcPr>
          <w:p w14:paraId="7E05F785" w14:textId="1EA7A894" w:rsidR="00713B84" w:rsidRDefault="00713B84" w:rsidP="00713B84">
            <w:r>
              <w:t>Disability</w:t>
            </w:r>
          </w:p>
        </w:tc>
        <w:tc>
          <w:tcPr>
            <w:tcW w:w="2703" w:type="dxa"/>
          </w:tcPr>
          <w:p w14:paraId="45F5B522" w14:textId="10261685" w:rsidR="00713B84" w:rsidRDefault="00713B84" w:rsidP="00713B84">
            <w:r>
              <w:t>Physical disability</w:t>
            </w:r>
          </w:p>
        </w:tc>
        <w:tc>
          <w:tcPr>
            <w:tcW w:w="2320" w:type="dxa"/>
          </w:tcPr>
          <w:p w14:paraId="7E32B117" w14:textId="77777777" w:rsidR="00713B84" w:rsidRDefault="00713B84" w:rsidP="00713B84"/>
        </w:tc>
        <w:tc>
          <w:tcPr>
            <w:tcW w:w="2100" w:type="dxa"/>
          </w:tcPr>
          <w:p w14:paraId="10293983" w14:textId="56C21D6D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9C0B417" w14:textId="1B791BB9" w:rsidR="00713B84" w:rsidRDefault="00713B84" w:rsidP="00713B84"/>
        </w:tc>
        <w:tc>
          <w:tcPr>
            <w:tcW w:w="2429" w:type="dxa"/>
          </w:tcPr>
          <w:p w14:paraId="70C9D68E" w14:textId="77777777" w:rsidR="00713B84" w:rsidRDefault="00713B84" w:rsidP="00713B84"/>
        </w:tc>
      </w:tr>
      <w:tr w:rsidR="00713B84" w14:paraId="2754F896" w14:textId="77777777" w:rsidTr="00713B84">
        <w:tc>
          <w:tcPr>
            <w:tcW w:w="2642" w:type="dxa"/>
          </w:tcPr>
          <w:p w14:paraId="478BEF29" w14:textId="77777777" w:rsidR="00713B84" w:rsidRDefault="00713B84" w:rsidP="00713B84"/>
        </w:tc>
        <w:tc>
          <w:tcPr>
            <w:tcW w:w="2703" w:type="dxa"/>
          </w:tcPr>
          <w:p w14:paraId="5E62D614" w14:textId="368B41FA" w:rsidR="00713B84" w:rsidRDefault="00713B84" w:rsidP="00713B84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77777777" w:rsidR="00713B84" w:rsidRDefault="00713B84" w:rsidP="00713B84"/>
        </w:tc>
        <w:tc>
          <w:tcPr>
            <w:tcW w:w="2100" w:type="dxa"/>
          </w:tcPr>
          <w:p w14:paraId="5E290BF1" w14:textId="6FEFD0DC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97B0325" w14:textId="63340823" w:rsidR="00713B84" w:rsidRDefault="00713B84" w:rsidP="00713B84"/>
        </w:tc>
        <w:tc>
          <w:tcPr>
            <w:tcW w:w="2429" w:type="dxa"/>
          </w:tcPr>
          <w:p w14:paraId="4F346008" w14:textId="77777777" w:rsidR="00713B84" w:rsidRDefault="00713B84" w:rsidP="00713B84"/>
        </w:tc>
      </w:tr>
      <w:tr w:rsidR="00713B84" w14:paraId="3AFFCDB4" w14:textId="77777777" w:rsidTr="00713B84">
        <w:tc>
          <w:tcPr>
            <w:tcW w:w="2642" w:type="dxa"/>
          </w:tcPr>
          <w:p w14:paraId="38462805" w14:textId="77777777" w:rsidR="00713B84" w:rsidRDefault="00713B84" w:rsidP="00713B84"/>
        </w:tc>
        <w:tc>
          <w:tcPr>
            <w:tcW w:w="2703" w:type="dxa"/>
          </w:tcPr>
          <w:p w14:paraId="767A07E1" w14:textId="31886DDD" w:rsidR="00713B84" w:rsidRDefault="00713B84" w:rsidP="00713B84">
            <w:r>
              <w:t>Mental health</w:t>
            </w:r>
          </w:p>
        </w:tc>
        <w:tc>
          <w:tcPr>
            <w:tcW w:w="2320" w:type="dxa"/>
          </w:tcPr>
          <w:p w14:paraId="428D2831" w14:textId="77777777" w:rsidR="00713B84" w:rsidRDefault="00713B84" w:rsidP="00713B84"/>
        </w:tc>
        <w:tc>
          <w:tcPr>
            <w:tcW w:w="2100" w:type="dxa"/>
          </w:tcPr>
          <w:p w14:paraId="1746C4B8" w14:textId="5E2C8833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C4BB78B" w14:textId="47C2CD32" w:rsidR="00713B84" w:rsidRDefault="00713B84" w:rsidP="00713B84"/>
        </w:tc>
        <w:tc>
          <w:tcPr>
            <w:tcW w:w="2429" w:type="dxa"/>
          </w:tcPr>
          <w:p w14:paraId="3FCD1DDF" w14:textId="77777777" w:rsidR="00713B84" w:rsidRDefault="00713B84" w:rsidP="00713B84"/>
        </w:tc>
      </w:tr>
      <w:tr w:rsidR="00713B84" w14:paraId="1B61160E" w14:textId="77777777" w:rsidTr="00713B84">
        <w:tc>
          <w:tcPr>
            <w:tcW w:w="2642" w:type="dxa"/>
          </w:tcPr>
          <w:p w14:paraId="72657B66" w14:textId="77777777" w:rsidR="00713B84" w:rsidRDefault="00713B84" w:rsidP="00713B84"/>
        </w:tc>
        <w:tc>
          <w:tcPr>
            <w:tcW w:w="2703" w:type="dxa"/>
          </w:tcPr>
          <w:p w14:paraId="3A3BEC7E" w14:textId="181F8590" w:rsidR="00713B84" w:rsidRDefault="00713B84" w:rsidP="00713B84">
            <w:r>
              <w:t>Learning disability</w:t>
            </w:r>
          </w:p>
        </w:tc>
        <w:tc>
          <w:tcPr>
            <w:tcW w:w="2320" w:type="dxa"/>
          </w:tcPr>
          <w:p w14:paraId="27EC821B" w14:textId="77777777" w:rsidR="00713B84" w:rsidRDefault="00713B84" w:rsidP="00713B84"/>
        </w:tc>
        <w:tc>
          <w:tcPr>
            <w:tcW w:w="2100" w:type="dxa"/>
          </w:tcPr>
          <w:p w14:paraId="18D25F00" w14:textId="6D71E52A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748019A" w14:textId="50C7B75E" w:rsidR="00713B84" w:rsidRDefault="00713B84" w:rsidP="00713B84"/>
        </w:tc>
        <w:tc>
          <w:tcPr>
            <w:tcW w:w="2429" w:type="dxa"/>
          </w:tcPr>
          <w:p w14:paraId="607248D6" w14:textId="77777777" w:rsidR="00713B84" w:rsidRDefault="00713B84" w:rsidP="00713B84"/>
        </w:tc>
      </w:tr>
      <w:tr w:rsidR="00713B84" w14:paraId="6BEA0620" w14:textId="77777777" w:rsidTr="00713B84">
        <w:tc>
          <w:tcPr>
            <w:tcW w:w="2642" w:type="dxa"/>
          </w:tcPr>
          <w:p w14:paraId="210F5A3B" w14:textId="05DF5078" w:rsidR="00713B84" w:rsidRDefault="00713B84" w:rsidP="00713B84">
            <w:r>
              <w:lastRenderedPageBreak/>
              <w:t>LGBT</w:t>
            </w:r>
          </w:p>
        </w:tc>
        <w:tc>
          <w:tcPr>
            <w:tcW w:w="2703" w:type="dxa"/>
          </w:tcPr>
          <w:p w14:paraId="6505520A" w14:textId="249E4FC6" w:rsidR="00713B84" w:rsidRDefault="00713B84" w:rsidP="00713B84">
            <w:r>
              <w:t>Lesbians</w:t>
            </w:r>
          </w:p>
        </w:tc>
        <w:tc>
          <w:tcPr>
            <w:tcW w:w="2320" w:type="dxa"/>
          </w:tcPr>
          <w:p w14:paraId="182923D9" w14:textId="77777777" w:rsidR="00713B84" w:rsidRDefault="00713B84" w:rsidP="00713B84"/>
        </w:tc>
        <w:tc>
          <w:tcPr>
            <w:tcW w:w="2100" w:type="dxa"/>
          </w:tcPr>
          <w:p w14:paraId="7EC2D735" w14:textId="457177E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713B84" w:rsidRDefault="00713B84" w:rsidP="00713B84"/>
        </w:tc>
        <w:tc>
          <w:tcPr>
            <w:tcW w:w="2429" w:type="dxa"/>
          </w:tcPr>
          <w:p w14:paraId="28F8CD55" w14:textId="77777777" w:rsidR="00713B84" w:rsidRDefault="00713B84" w:rsidP="00713B84"/>
        </w:tc>
      </w:tr>
      <w:tr w:rsidR="00713B84" w14:paraId="3FB3D175" w14:textId="77777777" w:rsidTr="00713B84">
        <w:tc>
          <w:tcPr>
            <w:tcW w:w="2642" w:type="dxa"/>
          </w:tcPr>
          <w:p w14:paraId="1CF8367B" w14:textId="77777777" w:rsidR="00713B84" w:rsidRDefault="00713B84" w:rsidP="00713B84"/>
        </w:tc>
        <w:tc>
          <w:tcPr>
            <w:tcW w:w="2703" w:type="dxa"/>
          </w:tcPr>
          <w:p w14:paraId="794ED908" w14:textId="2452D9CD" w:rsidR="00713B84" w:rsidRDefault="00713B84" w:rsidP="00713B84">
            <w:r>
              <w:t>Gay Men</w:t>
            </w:r>
          </w:p>
        </w:tc>
        <w:tc>
          <w:tcPr>
            <w:tcW w:w="2320" w:type="dxa"/>
          </w:tcPr>
          <w:p w14:paraId="60E90BA1" w14:textId="77777777" w:rsidR="00713B84" w:rsidRDefault="00713B84" w:rsidP="00713B84"/>
        </w:tc>
        <w:tc>
          <w:tcPr>
            <w:tcW w:w="2100" w:type="dxa"/>
          </w:tcPr>
          <w:p w14:paraId="0C17B9AB" w14:textId="2D11349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713B84" w:rsidRDefault="00713B84" w:rsidP="00713B84"/>
        </w:tc>
        <w:tc>
          <w:tcPr>
            <w:tcW w:w="2429" w:type="dxa"/>
          </w:tcPr>
          <w:p w14:paraId="4F9FC776" w14:textId="77777777" w:rsidR="00713B84" w:rsidRDefault="00713B84" w:rsidP="00713B84"/>
        </w:tc>
      </w:tr>
      <w:tr w:rsidR="00713B84" w14:paraId="54273A0F" w14:textId="77777777" w:rsidTr="00713B84">
        <w:tc>
          <w:tcPr>
            <w:tcW w:w="2642" w:type="dxa"/>
          </w:tcPr>
          <w:p w14:paraId="3993430D" w14:textId="77777777" w:rsidR="00713B84" w:rsidRDefault="00713B84" w:rsidP="00713B84"/>
        </w:tc>
        <w:tc>
          <w:tcPr>
            <w:tcW w:w="2703" w:type="dxa"/>
          </w:tcPr>
          <w:p w14:paraId="6180103A" w14:textId="2E4D2B51" w:rsidR="00713B84" w:rsidRDefault="00713B84" w:rsidP="00713B84">
            <w:r>
              <w:t>Bisexual</w:t>
            </w:r>
          </w:p>
        </w:tc>
        <w:tc>
          <w:tcPr>
            <w:tcW w:w="2320" w:type="dxa"/>
          </w:tcPr>
          <w:p w14:paraId="08FB7E5B" w14:textId="77777777" w:rsidR="00713B84" w:rsidRDefault="00713B84" w:rsidP="00713B84"/>
        </w:tc>
        <w:tc>
          <w:tcPr>
            <w:tcW w:w="2100" w:type="dxa"/>
          </w:tcPr>
          <w:p w14:paraId="36C88A34" w14:textId="081AE7F0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713B84" w:rsidRDefault="00713B84" w:rsidP="00713B84"/>
        </w:tc>
        <w:tc>
          <w:tcPr>
            <w:tcW w:w="2429" w:type="dxa"/>
          </w:tcPr>
          <w:p w14:paraId="163D991A" w14:textId="77777777" w:rsidR="00713B84" w:rsidRDefault="00713B84" w:rsidP="00713B84"/>
        </w:tc>
      </w:tr>
      <w:tr w:rsidR="00713B84" w14:paraId="1E07721A" w14:textId="77777777" w:rsidTr="00713B84">
        <w:tc>
          <w:tcPr>
            <w:tcW w:w="2642" w:type="dxa"/>
          </w:tcPr>
          <w:p w14:paraId="5A725ED7" w14:textId="4F76A7C4" w:rsidR="00713B84" w:rsidRDefault="00713B84" w:rsidP="00713B84">
            <w:r>
              <w:t>Age</w:t>
            </w:r>
          </w:p>
        </w:tc>
        <w:tc>
          <w:tcPr>
            <w:tcW w:w="2703" w:type="dxa"/>
          </w:tcPr>
          <w:p w14:paraId="70AD3758" w14:textId="0A6DE403" w:rsidR="00713B84" w:rsidRDefault="00713B84" w:rsidP="00713B84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713B84" w:rsidRDefault="00713B84" w:rsidP="00713B84"/>
        </w:tc>
        <w:tc>
          <w:tcPr>
            <w:tcW w:w="2100" w:type="dxa"/>
          </w:tcPr>
          <w:p w14:paraId="59653059" w14:textId="0B409152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713B84" w:rsidRDefault="00713B84" w:rsidP="00713B84"/>
        </w:tc>
        <w:tc>
          <w:tcPr>
            <w:tcW w:w="2429" w:type="dxa"/>
          </w:tcPr>
          <w:p w14:paraId="375DA172" w14:textId="77777777" w:rsidR="00713B84" w:rsidRDefault="00713B84" w:rsidP="00713B84"/>
        </w:tc>
      </w:tr>
      <w:tr w:rsidR="00713B84" w14:paraId="0B278962" w14:textId="77777777" w:rsidTr="00713B84">
        <w:tc>
          <w:tcPr>
            <w:tcW w:w="2642" w:type="dxa"/>
          </w:tcPr>
          <w:p w14:paraId="6F08B9EC" w14:textId="77777777" w:rsidR="00713B84" w:rsidRDefault="00713B84" w:rsidP="00713B84"/>
        </w:tc>
        <w:tc>
          <w:tcPr>
            <w:tcW w:w="2703" w:type="dxa"/>
          </w:tcPr>
          <w:p w14:paraId="3CD17D82" w14:textId="4C5CC924" w:rsidR="00713B84" w:rsidRDefault="00713B84" w:rsidP="00713B84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713B84" w:rsidRDefault="00713B84" w:rsidP="00713B84"/>
        </w:tc>
        <w:tc>
          <w:tcPr>
            <w:tcW w:w="2100" w:type="dxa"/>
          </w:tcPr>
          <w:p w14:paraId="0DF9E026" w14:textId="4713B3EE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713B84" w:rsidRDefault="00713B84" w:rsidP="00713B84"/>
        </w:tc>
        <w:tc>
          <w:tcPr>
            <w:tcW w:w="2429" w:type="dxa"/>
          </w:tcPr>
          <w:p w14:paraId="5BE56A30" w14:textId="77777777" w:rsidR="00713B84" w:rsidRDefault="00713B84" w:rsidP="00713B84"/>
        </w:tc>
      </w:tr>
      <w:tr w:rsidR="00713B84" w14:paraId="31406D21" w14:textId="77777777" w:rsidTr="00713B84">
        <w:tc>
          <w:tcPr>
            <w:tcW w:w="2642" w:type="dxa"/>
          </w:tcPr>
          <w:p w14:paraId="13A0A3BA" w14:textId="77777777" w:rsidR="00713B84" w:rsidRDefault="00713B84" w:rsidP="00713B84"/>
        </w:tc>
        <w:tc>
          <w:tcPr>
            <w:tcW w:w="2703" w:type="dxa"/>
          </w:tcPr>
          <w:p w14:paraId="14B5E014" w14:textId="687FF020" w:rsidR="00713B84" w:rsidRDefault="00713B84" w:rsidP="00713B84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713B84" w:rsidRDefault="00713B84" w:rsidP="00713B84"/>
        </w:tc>
        <w:tc>
          <w:tcPr>
            <w:tcW w:w="2100" w:type="dxa"/>
          </w:tcPr>
          <w:p w14:paraId="2DDDC77C" w14:textId="59EA93B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713B84" w:rsidRDefault="00713B84" w:rsidP="00713B84"/>
        </w:tc>
        <w:tc>
          <w:tcPr>
            <w:tcW w:w="2429" w:type="dxa"/>
          </w:tcPr>
          <w:p w14:paraId="251BA973" w14:textId="77777777" w:rsidR="00713B84" w:rsidRDefault="00713B84" w:rsidP="00713B84"/>
        </w:tc>
      </w:tr>
      <w:tr w:rsidR="00713B84" w14:paraId="49C72180" w14:textId="77777777" w:rsidTr="00713B84">
        <w:tc>
          <w:tcPr>
            <w:tcW w:w="2642" w:type="dxa"/>
          </w:tcPr>
          <w:p w14:paraId="371C4C2B" w14:textId="1CC28661" w:rsidR="00713B84" w:rsidRDefault="00713B84" w:rsidP="00713B84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713B84" w:rsidRDefault="00713B84" w:rsidP="00713B84">
            <w:r>
              <w:t>Women</w:t>
            </w:r>
          </w:p>
        </w:tc>
        <w:tc>
          <w:tcPr>
            <w:tcW w:w="2320" w:type="dxa"/>
          </w:tcPr>
          <w:p w14:paraId="2B6B4D7B" w14:textId="77777777" w:rsidR="00713B84" w:rsidRDefault="00713B84" w:rsidP="00713B84"/>
        </w:tc>
        <w:tc>
          <w:tcPr>
            <w:tcW w:w="2100" w:type="dxa"/>
          </w:tcPr>
          <w:p w14:paraId="75CA658C" w14:textId="1730CC2A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713B84" w:rsidRDefault="00713B84" w:rsidP="00713B84"/>
        </w:tc>
        <w:tc>
          <w:tcPr>
            <w:tcW w:w="2429" w:type="dxa"/>
          </w:tcPr>
          <w:p w14:paraId="59F93DDD" w14:textId="77777777" w:rsidR="00713B84" w:rsidRDefault="00713B84" w:rsidP="00713B84"/>
        </w:tc>
      </w:tr>
      <w:tr w:rsidR="00713B84" w14:paraId="645E5DEA" w14:textId="77777777" w:rsidTr="00713B84">
        <w:tc>
          <w:tcPr>
            <w:tcW w:w="2642" w:type="dxa"/>
          </w:tcPr>
          <w:p w14:paraId="314763CE" w14:textId="77777777" w:rsidR="00713B84" w:rsidRDefault="00713B84" w:rsidP="00713B84"/>
        </w:tc>
        <w:tc>
          <w:tcPr>
            <w:tcW w:w="2703" w:type="dxa"/>
          </w:tcPr>
          <w:p w14:paraId="1ACCACD5" w14:textId="1E1D4E86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390F166F" w14:textId="77777777" w:rsidR="00713B84" w:rsidRDefault="00713B84" w:rsidP="00713B84"/>
        </w:tc>
        <w:tc>
          <w:tcPr>
            <w:tcW w:w="2100" w:type="dxa"/>
          </w:tcPr>
          <w:p w14:paraId="38E6F9EF" w14:textId="4615191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713B84" w:rsidRDefault="00713B84" w:rsidP="00713B84"/>
        </w:tc>
        <w:tc>
          <w:tcPr>
            <w:tcW w:w="2429" w:type="dxa"/>
          </w:tcPr>
          <w:p w14:paraId="2FAEEA46" w14:textId="77777777" w:rsidR="00713B84" w:rsidRDefault="00713B84" w:rsidP="00713B84"/>
        </w:tc>
      </w:tr>
      <w:tr w:rsidR="00713B84" w14:paraId="327AC740" w14:textId="77777777" w:rsidTr="00713B84">
        <w:tc>
          <w:tcPr>
            <w:tcW w:w="2642" w:type="dxa"/>
          </w:tcPr>
          <w:p w14:paraId="1BEFEEA8" w14:textId="77777777" w:rsidR="00713B84" w:rsidRDefault="00713B84" w:rsidP="00713B84"/>
        </w:tc>
        <w:tc>
          <w:tcPr>
            <w:tcW w:w="2703" w:type="dxa"/>
          </w:tcPr>
          <w:p w14:paraId="5EA375D4" w14:textId="2C739B97" w:rsidR="00713B84" w:rsidRDefault="00713B84" w:rsidP="00713B84">
            <w:r>
              <w:t>Lesbians</w:t>
            </w:r>
          </w:p>
        </w:tc>
        <w:tc>
          <w:tcPr>
            <w:tcW w:w="2320" w:type="dxa"/>
          </w:tcPr>
          <w:p w14:paraId="3FEC2058" w14:textId="77777777" w:rsidR="00713B84" w:rsidRDefault="00713B84" w:rsidP="00713B84"/>
        </w:tc>
        <w:tc>
          <w:tcPr>
            <w:tcW w:w="2100" w:type="dxa"/>
          </w:tcPr>
          <w:p w14:paraId="6A2FD8D9" w14:textId="327032D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713B84" w:rsidRDefault="00713B84" w:rsidP="00713B84"/>
        </w:tc>
        <w:tc>
          <w:tcPr>
            <w:tcW w:w="2429" w:type="dxa"/>
          </w:tcPr>
          <w:p w14:paraId="31EB7F2E" w14:textId="77777777" w:rsidR="00713B84" w:rsidRDefault="00713B84" w:rsidP="00713B84"/>
        </w:tc>
      </w:tr>
      <w:tr w:rsidR="00713B84" w14:paraId="031C103F" w14:textId="77777777" w:rsidTr="00713B84">
        <w:tc>
          <w:tcPr>
            <w:tcW w:w="2642" w:type="dxa"/>
          </w:tcPr>
          <w:p w14:paraId="39780D56" w14:textId="40CB56DB" w:rsidR="00713B84" w:rsidRDefault="00713B84" w:rsidP="00713B84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713B84" w:rsidRDefault="00713B84" w:rsidP="00713B84">
            <w:r>
              <w:t>Women</w:t>
            </w:r>
          </w:p>
        </w:tc>
        <w:tc>
          <w:tcPr>
            <w:tcW w:w="2320" w:type="dxa"/>
          </w:tcPr>
          <w:p w14:paraId="387B3F00" w14:textId="77777777" w:rsidR="00713B84" w:rsidRDefault="00713B84" w:rsidP="00713B84"/>
        </w:tc>
        <w:tc>
          <w:tcPr>
            <w:tcW w:w="2100" w:type="dxa"/>
          </w:tcPr>
          <w:p w14:paraId="7021C4F5" w14:textId="155A3CE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713B84" w:rsidRDefault="00713B84" w:rsidP="00713B84"/>
        </w:tc>
        <w:tc>
          <w:tcPr>
            <w:tcW w:w="2429" w:type="dxa"/>
          </w:tcPr>
          <w:p w14:paraId="2E9772CE" w14:textId="77777777" w:rsidR="00713B84" w:rsidRDefault="00713B84" w:rsidP="00713B84"/>
        </w:tc>
      </w:tr>
      <w:tr w:rsidR="00713B84" w14:paraId="6DDC4ED1" w14:textId="77777777" w:rsidTr="00713B84">
        <w:tc>
          <w:tcPr>
            <w:tcW w:w="2642" w:type="dxa"/>
          </w:tcPr>
          <w:p w14:paraId="684760E8" w14:textId="0B27846D" w:rsidR="00713B84" w:rsidRDefault="00713B84" w:rsidP="00713B84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713B84" w:rsidRDefault="00713B84" w:rsidP="00713B84">
            <w:r>
              <w:t>See below</w:t>
            </w:r>
          </w:p>
        </w:tc>
        <w:tc>
          <w:tcPr>
            <w:tcW w:w="2320" w:type="dxa"/>
          </w:tcPr>
          <w:p w14:paraId="434B486D" w14:textId="77777777" w:rsidR="00713B84" w:rsidRDefault="00713B84" w:rsidP="00713B84"/>
        </w:tc>
        <w:tc>
          <w:tcPr>
            <w:tcW w:w="2100" w:type="dxa"/>
          </w:tcPr>
          <w:p w14:paraId="64107008" w14:textId="41DEBCD0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713B84" w:rsidRDefault="00713B84" w:rsidP="00713B84"/>
        </w:tc>
        <w:tc>
          <w:tcPr>
            <w:tcW w:w="2429" w:type="dxa"/>
          </w:tcPr>
          <w:p w14:paraId="6E1D1C87" w14:textId="77777777" w:rsidR="00713B84" w:rsidRDefault="00713B84" w:rsidP="00713B84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49908FCB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F97E5CC" w14:textId="5D8A6439" w:rsidR="00236930" w:rsidRDefault="12F7AD34" w:rsidP="49908FCB">
            <w:r w:rsidRPr="49908FCB">
              <w:rPr>
                <w:rFonts w:eastAsia="Arial" w:cs="Arial"/>
                <w:szCs w:val="24"/>
              </w:rPr>
              <w:t>This policy has a neutral impact as it is aimed to protect people from discrimination when raising a concern.</w:t>
            </w:r>
          </w:p>
        </w:tc>
      </w:tr>
      <w:tr w:rsidR="00236930" w14:paraId="15BB4207" w14:textId="77777777" w:rsidTr="49908FCB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ED84E81" w:rsidR="00236930" w:rsidRDefault="599BEF14" w:rsidP="49908FCB">
            <w:r w:rsidRPr="49908FCB">
              <w:rPr>
                <w:rFonts w:eastAsia="Arial" w:cs="Arial"/>
                <w:szCs w:val="24"/>
              </w:rPr>
              <w:t>There are no Socio-Economic impacts.</w:t>
            </w:r>
          </w:p>
        </w:tc>
      </w:tr>
      <w:tr w:rsidR="00236930" w14:paraId="3F56348C" w14:textId="77777777" w:rsidTr="49908FCB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7376BD99" w:rsidR="00236930" w:rsidRDefault="60840B7A" w:rsidP="49908FCB">
            <w:r w:rsidRPr="49908FCB">
              <w:rPr>
                <w:rFonts w:eastAsia="Arial" w:cs="Arial"/>
                <w:szCs w:val="24"/>
              </w:rPr>
              <w:t>There are no Human Rights impacts</w:t>
            </w:r>
          </w:p>
        </w:tc>
      </w:tr>
      <w:tr w:rsidR="00713B84" w14:paraId="355043AE" w14:textId="77777777" w:rsidTr="49908FCB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2FB8772F" w:rsidR="002A1955" w:rsidRDefault="3065595E" w:rsidP="49908FCB">
            <w:r w:rsidRPr="49908FCB">
              <w:rPr>
                <w:rFonts w:eastAsia="Arial" w:cs="Arial"/>
                <w:szCs w:val="24"/>
              </w:rPr>
              <w:t>All scores remain neutral due to no positive or negative impact on the protected characteristics by employees.</w:t>
            </w:r>
          </w:p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49908FC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76347BE4" w14:textId="00F24A8A" w:rsidR="00383B0B" w:rsidRDefault="6E1E55D1" w:rsidP="49908FCB">
            <w:r>
              <w:t>n/a</w:t>
            </w:r>
          </w:p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itself but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4EAEF2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66DBB4A0" w14:textId="191809E2" w:rsidR="00AE6E4F" w:rsidRDefault="319EEBA4" w:rsidP="4EAEF207">
            <w:pPr>
              <w:rPr>
                <w:rFonts w:eastAsia="Times New Roman" w:cs="Times New Roman"/>
                <w:sz w:val="22"/>
              </w:rPr>
            </w:pPr>
            <w:r w:rsidRPr="4EAEF207">
              <w:rPr>
                <w:rFonts w:eastAsia="Times New Roman" w:cs="Times New Roman"/>
                <w:sz w:val="22"/>
              </w:rPr>
              <w:t xml:space="preserve">This policy is reviewed </w:t>
            </w:r>
            <w:r w:rsidR="3BAB3397" w:rsidRPr="4EAEF207">
              <w:rPr>
                <w:rFonts w:eastAsia="Times New Roman" w:cs="Times New Roman"/>
                <w:sz w:val="22"/>
              </w:rPr>
              <w:t xml:space="preserve">periodically </w:t>
            </w:r>
            <w:r w:rsidRPr="4EAEF207">
              <w:rPr>
                <w:rFonts w:eastAsia="Times New Roman" w:cs="Times New Roman"/>
                <w:sz w:val="22"/>
              </w:rPr>
              <w:t>to ensure it remains fit for purpose</w:t>
            </w:r>
            <w:r w:rsidR="59975AEE" w:rsidRPr="4EAEF207">
              <w:rPr>
                <w:rFonts w:eastAsia="Times New Roman" w:cs="Times New Roman"/>
                <w:sz w:val="22"/>
              </w:rPr>
              <w:t xml:space="preserve"> and will </w:t>
            </w:r>
            <w:r w:rsidR="0794C395" w:rsidRPr="4EAEF207">
              <w:rPr>
                <w:rFonts w:eastAsia="Times New Roman" w:cs="Times New Roman"/>
                <w:sz w:val="22"/>
              </w:rPr>
              <w:t xml:space="preserve">usually </w:t>
            </w:r>
            <w:r w:rsidR="59975AEE" w:rsidRPr="4EAEF207">
              <w:rPr>
                <w:rFonts w:eastAsia="Times New Roman" w:cs="Times New Roman"/>
                <w:sz w:val="22"/>
              </w:rPr>
              <w:t xml:space="preserve">accompany the Annual Internal Audit Plan when it is submitted for approval by the audit committee. </w:t>
            </w:r>
          </w:p>
        </w:tc>
      </w:tr>
      <w:tr w:rsidR="00AE6E4F" w14:paraId="44717B86" w14:textId="77777777" w:rsidTr="4EAEF2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25E71C57" w:rsidR="00AE6E4F" w:rsidRDefault="6BCC3B69" w:rsidP="4EAEF207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4EAEF207">
              <w:rPr>
                <w:rFonts w:eastAsia="Times New Roman" w:cs="Times New Roman"/>
                <w:sz w:val="22"/>
                <w:lang w:val="en-US"/>
              </w:rPr>
              <w:t xml:space="preserve">This version is </w:t>
            </w:r>
            <w:r w:rsidR="65FCC0A7" w:rsidRPr="4EAEF207">
              <w:rPr>
                <w:rFonts w:eastAsia="Times New Roman" w:cs="Times New Roman"/>
                <w:sz w:val="22"/>
                <w:lang w:val="en-US"/>
              </w:rPr>
              <w:t>2023</w:t>
            </w:r>
          </w:p>
          <w:p w14:paraId="6426ED7B" w14:textId="052BC3BB" w:rsidR="00AE6E4F" w:rsidRPr="00AE6E4F" w:rsidRDefault="00AE6E4F" w:rsidP="49908FCB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6E4F" w14:paraId="6FA25697" w14:textId="77777777" w:rsidTr="4EAEF2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1EE5C424" w14:textId="7397DDA3" w:rsidR="00AE6E4F" w:rsidRPr="00AE6E4F" w:rsidRDefault="07A4B472" w:rsidP="4EAEF207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4EAEF207">
              <w:rPr>
                <w:rFonts w:eastAsia="Times New Roman" w:cs="Times New Roman"/>
                <w:sz w:val="22"/>
                <w:lang w:val="en-US"/>
              </w:rPr>
              <w:t>202</w:t>
            </w:r>
            <w:r w:rsidR="71008FFF" w:rsidRPr="4EAEF207">
              <w:rPr>
                <w:rFonts w:eastAsia="Times New Roman" w:cs="Times New Roman"/>
                <w:sz w:val="22"/>
                <w:lang w:val="en-US"/>
              </w:rPr>
              <w:t>6</w:t>
            </w:r>
            <w:r w:rsidR="2ACF719D" w:rsidRPr="4EAEF207">
              <w:rPr>
                <w:rFonts w:eastAsia="Times New Roman" w:cs="Times New Roman"/>
                <w:sz w:val="22"/>
                <w:lang w:val="en-US"/>
              </w:rPr>
              <w:t xml:space="preserve"> (at the timing of the Internal Audit Plan 2026-27).</w:t>
            </w: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4EAEF207">
        <w:trPr>
          <w:trHeight w:val="1395"/>
        </w:trPr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7D088BC3" w:rsidP="49908FCB">
            <w:pP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49908FCB"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4E2D087" w14:textId="7920F857" w:rsidR="00383B0B" w:rsidRDefault="2BC80CA8" w:rsidP="49908FCB">
            <w:pPr>
              <w:rPr>
                <w:sz w:val="22"/>
              </w:rPr>
            </w:pPr>
            <w:r w:rsidRPr="4EAEF207">
              <w:rPr>
                <w:sz w:val="22"/>
              </w:rPr>
              <w:t xml:space="preserve">The next review will be </w:t>
            </w:r>
            <w:r w:rsidR="2A0E3777" w:rsidRPr="4EAEF207">
              <w:rPr>
                <w:sz w:val="22"/>
              </w:rPr>
              <w:t>when the 2026/27 Internal Audit Plan is submitted for approval by the audit committee</w:t>
            </w:r>
            <w:r w:rsidRPr="4EAEF207">
              <w:rPr>
                <w:sz w:val="22"/>
              </w:rPr>
              <w:t>.</w:t>
            </w:r>
          </w:p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49908FC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8" w:name="_Toc167112761"/>
      <w:r>
        <w:t>Legislation</w:t>
      </w:r>
      <w:bookmarkEnd w:id="8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>
        <w:fldChar w:fldCharType="begin"/>
      </w:r>
      <w:r>
        <w:instrText>TOC \o "1-3" \h \z \u</w:instrText>
      </w:r>
      <w:r>
        <w:fldChar w:fldCharType="separate"/>
      </w:r>
      <w:r>
        <w:fldChar w:fldCharType="end"/>
      </w:r>
    </w:p>
    <w:sectPr w:rsidR="00DE0479" w:rsidRPr="00DE0479" w:rsidSect="00CD0CD8"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Yn2affz8">
      <int2:state int2:value="Rejected" int2:type="spell"/>
    </int2:textHash>
    <int2:bookmark int2:bookmarkName="_Int_bXEkgeU3" int2:invalidationBookmarkName="" int2:hashCode="8u+xWIKp9nUqr8" int2:id="DxUNT1G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4E290"/>
    <w:multiLevelType w:val="hybridMultilevel"/>
    <w:tmpl w:val="D7961F90"/>
    <w:lvl w:ilvl="0" w:tplc="34A40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67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6F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09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4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64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6B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EE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8D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535628250">
    <w:abstractNumId w:val="1"/>
  </w:num>
  <w:num w:numId="2" w16cid:durableId="660618470">
    <w:abstractNumId w:val="2"/>
  </w:num>
  <w:num w:numId="3" w16cid:durableId="1059327647">
    <w:abstractNumId w:val="8"/>
  </w:num>
  <w:num w:numId="4" w16cid:durableId="1169712533">
    <w:abstractNumId w:val="13"/>
  </w:num>
  <w:num w:numId="5" w16cid:durableId="1668091473">
    <w:abstractNumId w:val="22"/>
  </w:num>
  <w:num w:numId="6" w16cid:durableId="905144847">
    <w:abstractNumId w:val="6"/>
  </w:num>
  <w:num w:numId="7" w16cid:durableId="74210457">
    <w:abstractNumId w:val="5"/>
  </w:num>
  <w:num w:numId="8" w16cid:durableId="499851705">
    <w:abstractNumId w:val="0"/>
  </w:num>
  <w:num w:numId="9" w16cid:durableId="1487211395">
    <w:abstractNumId w:val="21"/>
  </w:num>
  <w:num w:numId="10" w16cid:durableId="376784684">
    <w:abstractNumId w:val="9"/>
  </w:num>
  <w:num w:numId="11" w16cid:durableId="1302346234">
    <w:abstractNumId w:val="25"/>
  </w:num>
  <w:num w:numId="12" w16cid:durableId="59597926">
    <w:abstractNumId w:val="20"/>
  </w:num>
  <w:num w:numId="13" w16cid:durableId="810829194">
    <w:abstractNumId w:val="4"/>
  </w:num>
  <w:num w:numId="14" w16cid:durableId="1653831862">
    <w:abstractNumId w:val="7"/>
  </w:num>
  <w:num w:numId="15" w16cid:durableId="268856396">
    <w:abstractNumId w:val="19"/>
  </w:num>
  <w:num w:numId="16" w16cid:durableId="769853231">
    <w:abstractNumId w:val="18"/>
  </w:num>
  <w:num w:numId="17" w16cid:durableId="1567494817">
    <w:abstractNumId w:val="23"/>
  </w:num>
  <w:num w:numId="18" w16cid:durableId="314722523">
    <w:abstractNumId w:val="10"/>
  </w:num>
  <w:num w:numId="19" w16cid:durableId="312682986">
    <w:abstractNumId w:val="17"/>
  </w:num>
  <w:num w:numId="20" w16cid:durableId="1152989405">
    <w:abstractNumId w:val="26"/>
  </w:num>
  <w:num w:numId="21" w16cid:durableId="1327397278">
    <w:abstractNumId w:val="11"/>
  </w:num>
  <w:num w:numId="22" w16cid:durableId="865606008">
    <w:abstractNumId w:val="24"/>
  </w:num>
  <w:num w:numId="23" w16cid:durableId="472069081">
    <w:abstractNumId w:val="12"/>
  </w:num>
  <w:num w:numId="24" w16cid:durableId="525099300">
    <w:abstractNumId w:val="14"/>
  </w:num>
  <w:num w:numId="25" w16cid:durableId="1589536094">
    <w:abstractNumId w:val="15"/>
  </w:num>
  <w:num w:numId="26" w16cid:durableId="1395738368">
    <w:abstractNumId w:val="16"/>
  </w:num>
  <w:num w:numId="27" w16cid:durableId="145948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2643D"/>
    <w:rsid w:val="00092104"/>
    <w:rsid w:val="000F363D"/>
    <w:rsid w:val="000F7582"/>
    <w:rsid w:val="00126205"/>
    <w:rsid w:val="0019341F"/>
    <w:rsid w:val="001E0ADF"/>
    <w:rsid w:val="001F64C6"/>
    <w:rsid w:val="00233A25"/>
    <w:rsid w:val="00236930"/>
    <w:rsid w:val="002A1955"/>
    <w:rsid w:val="002F602A"/>
    <w:rsid w:val="003169C4"/>
    <w:rsid w:val="00383B0B"/>
    <w:rsid w:val="003B1759"/>
    <w:rsid w:val="003D5A86"/>
    <w:rsid w:val="00483F7B"/>
    <w:rsid w:val="00484FE3"/>
    <w:rsid w:val="004B114A"/>
    <w:rsid w:val="004D02B7"/>
    <w:rsid w:val="004E6CFD"/>
    <w:rsid w:val="005316D0"/>
    <w:rsid w:val="005334F9"/>
    <w:rsid w:val="00554750"/>
    <w:rsid w:val="00580F40"/>
    <w:rsid w:val="005A0185"/>
    <w:rsid w:val="005B726B"/>
    <w:rsid w:val="005C7954"/>
    <w:rsid w:val="0067678F"/>
    <w:rsid w:val="00695B8E"/>
    <w:rsid w:val="006A7EC7"/>
    <w:rsid w:val="006B2A0C"/>
    <w:rsid w:val="006D378A"/>
    <w:rsid w:val="00713B84"/>
    <w:rsid w:val="00737374"/>
    <w:rsid w:val="00933FF8"/>
    <w:rsid w:val="009D2978"/>
    <w:rsid w:val="009E55B4"/>
    <w:rsid w:val="00A4363E"/>
    <w:rsid w:val="00A96796"/>
    <w:rsid w:val="00AE6E4F"/>
    <w:rsid w:val="00B62A71"/>
    <w:rsid w:val="00B82EF2"/>
    <w:rsid w:val="00B90269"/>
    <w:rsid w:val="00C01148"/>
    <w:rsid w:val="00C815E0"/>
    <w:rsid w:val="00CD0CD8"/>
    <w:rsid w:val="00D6047D"/>
    <w:rsid w:val="00DE0479"/>
    <w:rsid w:val="00E02321"/>
    <w:rsid w:val="00EE0E55"/>
    <w:rsid w:val="00F56F81"/>
    <w:rsid w:val="00F845F2"/>
    <w:rsid w:val="00F85A90"/>
    <w:rsid w:val="00FB2E07"/>
    <w:rsid w:val="00FD655C"/>
    <w:rsid w:val="00FF48C3"/>
    <w:rsid w:val="02F9944C"/>
    <w:rsid w:val="043D6CCA"/>
    <w:rsid w:val="047CFFE5"/>
    <w:rsid w:val="04CAB19F"/>
    <w:rsid w:val="05F70570"/>
    <w:rsid w:val="061C294A"/>
    <w:rsid w:val="0794C395"/>
    <w:rsid w:val="07A4B472"/>
    <w:rsid w:val="08CD6EFC"/>
    <w:rsid w:val="0C29B2B4"/>
    <w:rsid w:val="0CDCD4E0"/>
    <w:rsid w:val="0DE09155"/>
    <w:rsid w:val="0E039423"/>
    <w:rsid w:val="0F9CB603"/>
    <w:rsid w:val="0FD70921"/>
    <w:rsid w:val="12F7AD34"/>
    <w:rsid w:val="13222F45"/>
    <w:rsid w:val="15A62472"/>
    <w:rsid w:val="16285739"/>
    <w:rsid w:val="1667D33A"/>
    <w:rsid w:val="16958F66"/>
    <w:rsid w:val="185A76B5"/>
    <w:rsid w:val="1D7F2F3D"/>
    <w:rsid w:val="1F1AEBB6"/>
    <w:rsid w:val="1F35DB03"/>
    <w:rsid w:val="1F58F715"/>
    <w:rsid w:val="21155690"/>
    <w:rsid w:val="212FFA70"/>
    <w:rsid w:val="274CB26E"/>
    <w:rsid w:val="28C2233D"/>
    <w:rsid w:val="2A0E3777"/>
    <w:rsid w:val="2ACF719D"/>
    <w:rsid w:val="2AE75618"/>
    <w:rsid w:val="2BC80CA8"/>
    <w:rsid w:val="3065595E"/>
    <w:rsid w:val="319EEBA4"/>
    <w:rsid w:val="338BF20C"/>
    <w:rsid w:val="353C5DFD"/>
    <w:rsid w:val="35572960"/>
    <w:rsid w:val="370AC9FE"/>
    <w:rsid w:val="3BAB3397"/>
    <w:rsid w:val="3C9609A4"/>
    <w:rsid w:val="4030AAE7"/>
    <w:rsid w:val="42FB6495"/>
    <w:rsid w:val="44432B16"/>
    <w:rsid w:val="470E0199"/>
    <w:rsid w:val="49908FCB"/>
    <w:rsid w:val="4C217899"/>
    <w:rsid w:val="4C62D93D"/>
    <w:rsid w:val="4E5BEF47"/>
    <w:rsid w:val="4EAEF207"/>
    <w:rsid w:val="56620330"/>
    <w:rsid w:val="577D07C7"/>
    <w:rsid w:val="59975AEE"/>
    <w:rsid w:val="599BEF14"/>
    <w:rsid w:val="5A962240"/>
    <w:rsid w:val="60840B7A"/>
    <w:rsid w:val="65FCC0A7"/>
    <w:rsid w:val="66C12FD3"/>
    <w:rsid w:val="66D53A3F"/>
    <w:rsid w:val="6A6C3708"/>
    <w:rsid w:val="6BCC3B69"/>
    <w:rsid w:val="6CB71D5C"/>
    <w:rsid w:val="6E1E55D1"/>
    <w:rsid w:val="70832DB6"/>
    <w:rsid w:val="71008FFF"/>
    <w:rsid w:val="7D088BC3"/>
    <w:rsid w:val="7E9F6257"/>
    <w:rsid w:val="7F3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definition-of-disability-under-equality-act-2010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CBC46D4C7744499FFDCE53A95F887" ma:contentTypeVersion="15" ma:contentTypeDescription="Create a new document." ma:contentTypeScope="" ma:versionID="566fbecfede47af6bb2ae35596f038de">
  <xsd:schema xmlns:xsd="http://www.w3.org/2001/XMLSchema" xmlns:xs="http://www.w3.org/2001/XMLSchema" xmlns:p="http://schemas.microsoft.com/office/2006/metadata/properties" xmlns:ns2="75a0e89f-c1ed-4b59-9729-d5297040f4ea" xmlns:ns3="32ab1800-1fd2-4f1f-92dd-a44d56dad450" targetNamespace="http://schemas.microsoft.com/office/2006/metadata/properties" ma:root="true" ma:fieldsID="b6bcbde3b520b98e1343b3fa45f967e5" ns2:_="" ns3:_="">
    <xsd:import namespace="75a0e89f-c1ed-4b59-9729-d5297040f4ea"/>
    <xsd:import namespace="32ab1800-1fd2-4f1f-92dd-a44d56dad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0e89f-c1ed-4b59-9729-d5297040f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1800-1fd2-4f1f-92dd-a44d56dad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5d3fae-b815-45ea-a7c6-545d45981a7e}" ma:internalName="TaxCatchAll" ma:showField="CatchAllData" ma:web="32ab1800-1fd2-4f1f-92dd-a44d56dad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1800-1fd2-4f1f-92dd-a44d56dad450" xsi:nil="true"/>
    <lcf76f155ced4ddcb4097134ff3c332f xmlns="75a0e89f-c1ed-4b59-9729-d5297040f4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AE1F00-EFC3-48F9-BF3C-22F0630E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0e89f-c1ed-4b59-9729-d5297040f4ea"/>
    <ds:schemaRef ds:uri="32ab1800-1fd2-4f1f-92dd-a44d56dad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  <ds:schemaRef ds:uri="32ab1800-1fd2-4f1f-92dd-a44d56dad450"/>
    <ds:schemaRef ds:uri="75a0e89f-c1ed-4b59-9729-d5297040f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1363</Words>
  <Characters>7774</Characters>
  <Application>Microsoft Office Word</Application>
  <DocSecurity>4</DocSecurity>
  <Lines>64</Lines>
  <Paragraphs>18</Paragraphs>
  <ScaleCrop>false</ScaleCrop>
  <Company>Fenland District Council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David Wright</cp:lastModifiedBy>
  <cp:revision>2</cp:revision>
  <dcterms:created xsi:type="dcterms:W3CDTF">2025-12-02T11:56:00Z</dcterms:created>
  <dcterms:modified xsi:type="dcterms:W3CDTF">2025-12-02T11:56:00Z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0x010100DE3CBC46D4C7744499FFDCE53A95F887</vt:lpwstr>
  </property>
  <property fmtid="{D5CDD505-2E9C-101B-9397-08002B2CF9AE}" pid="3" name="MediaServiceImageTags">
    <vt:lpwstr/>
  </property>
</Properties>
</file>